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spacing w:line="578" w:lineRule="exact"/>
        <w:ind w:left="0" w:leftChars="0" w:firstLine="0" w:firstLineChars="0"/>
        <w:jc w:val="left"/>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附件2</w:t>
      </w:r>
    </w:p>
    <w:p>
      <w:pPr>
        <w:keepNext w:val="0"/>
        <w:keepLines w:val="0"/>
        <w:pageBreakBefore w:val="0"/>
        <w:widowControl w:val="0"/>
        <w:kinsoku/>
        <w:wordWrap/>
        <w:overflowPunct/>
        <w:topLinePunct w:val="0"/>
        <w:autoSpaceDE/>
        <w:autoSpaceDN/>
        <w:bidi w:val="0"/>
        <w:spacing w:line="560" w:lineRule="exact"/>
        <w:ind w:left="0" w:leftChars="0" w:firstLine="0" w:firstLineChars="0"/>
        <w:jc w:val="center"/>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2026年资阳市艾滋病防治社会动员服务</w:t>
      </w:r>
    </w:p>
    <w:p>
      <w:pPr>
        <w:keepNext w:val="0"/>
        <w:keepLines w:val="0"/>
        <w:pageBreakBefore w:val="0"/>
        <w:widowControl w:val="0"/>
        <w:kinsoku/>
        <w:wordWrap/>
        <w:overflowPunct/>
        <w:topLinePunct w:val="0"/>
        <w:autoSpaceDE/>
        <w:autoSpaceDN/>
        <w:bidi w:val="0"/>
        <w:spacing w:line="560" w:lineRule="exact"/>
        <w:ind w:left="0" w:leftChars="0" w:firstLine="0" w:firstLineChars="0"/>
        <w:jc w:val="center"/>
        <w:rPr>
          <w:rFonts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项目实施方案</w:t>
      </w:r>
    </w:p>
    <w:p>
      <w:pPr>
        <w:keepNext w:val="0"/>
        <w:keepLines w:val="0"/>
        <w:pageBreakBefore w:val="0"/>
        <w:widowControl w:val="0"/>
        <w:kinsoku/>
        <w:wordWrap/>
        <w:overflowPunct/>
        <w:topLinePunct w:val="0"/>
        <w:autoSpaceDE/>
        <w:autoSpaceDN/>
        <w:bidi w:val="0"/>
        <w:spacing w:after="120" w:line="560" w:lineRule="exact"/>
        <w:ind w:firstLine="880" w:firstLineChars="200"/>
        <w:jc w:val="both"/>
        <w:rPr>
          <w:rFonts w:hint="eastAsia" w:ascii="方正小标宋_GBK" w:hAnsi="方正小标宋_GBK" w:eastAsia="方正小标宋_GBK" w:cs="方正小标宋_GBK"/>
          <w:color w:val="000000"/>
          <w:kern w:val="2"/>
          <w:sz w:val="44"/>
          <w:szCs w:val="44"/>
          <w:lang w:val="en-US" w:eastAsia="zh-CN" w:bidi="ar-SA"/>
        </w:rPr>
      </w:pPr>
    </w:p>
    <w:p>
      <w:pPr>
        <w:keepNext w:val="0"/>
        <w:keepLines w:val="0"/>
        <w:pageBreakBefore w:val="0"/>
        <w:widowControl w:val="0"/>
        <w:kinsoku/>
        <w:wordWrap/>
        <w:overflowPunct/>
        <w:topLinePunct w:val="0"/>
        <w:autoSpaceDE/>
        <w:autoSpaceDN/>
        <w:bidi w:val="0"/>
        <w:spacing w:line="560" w:lineRule="exact"/>
        <w:ind w:firstLine="640" w:firstLineChars="200"/>
        <w:rPr>
          <w:rFonts w:ascii="Times New Roman" w:hAnsi="Times New Roman" w:eastAsia="方正仿宋_GBK"/>
          <w:sz w:val="32"/>
          <w:lang w:val="en-US" w:eastAsia="zh-CN"/>
        </w:rPr>
      </w:pPr>
      <w:r>
        <w:rPr>
          <w:rFonts w:ascii="Times New Roman" w:hAnsi="Times New Roman" w:eastAsia="方正仿宋_GBK"/>
          <w:sz w:val="32"/>
        </w:rPr>
        <w:t>为</w:t>
      </w:r>
      <w:r>
        <w:rPr>
          <w:rFonts w:ascii="Times New Roman" w:hAnsi="Times New Roman" w:eastAsia="方正仿宋_GBK"/>
          <w:sz w:val="32"/>
          <w:lang w:val="en-US" w:eastAsia="zh-CN"/>
        </w:rPr>
        <w:t>进一步推进防艾社会组织孵化机制落地，激发社会组织参与防艾活力，同时</w:t>
      </w:r>
      <w:r>
        <w:rPr>
          <w:rFonts w:ascii="Times New Roman" w:hAnsi="Times New Roman" w:eastAsia="方正仿宋_GBK"/>
          <w:sz w:val="32"/>
        </w:rPr>
        <w:t>加强艾滋病防治社会动员</w:t>
      </w:r>
      <w:r>
        <w:rPr>
          <w:rFonts w:hint="eastAsia" w:ascii="Times New Roman" w:hAnsi="Times New Roman" w:eastAsia="方正仿宋_GBK"/>
          <w:sz w:val="32"/>
          <w:lang w:val="en-US" w:eastAsia="zh-CN"/>
        </w:rPr>
        <w:t>服务</w:t>
      </w:r>
      <w:r>
        <w:rPr>
          <w:rFonts w:ascii="Times New Roman" w:hAnsi="Times New Roman" w:eastAsia="方正仿宋_GBK"/>
          <w:sz w:val="32"/>
        </w:rPr>
        <w:t>项目管理，提高项目</w:t>
      </w:r>
      <w:r>
        <w:rPr>
          <w:rFonts w:ascii="Times New Roman" w:hAnsi="Times New Roman" w:eastAsia="方正仿宋_GBK"/>
          <w:sz w:val="32"/>
          <w:lang w:eastAsia="zh-CN"/>
        </w:rPr>
        <w:t>资金</w:t>
      </w:r>
      <w:r>
        <w:rPr>
          <w:rFonts w:ascii="Times New Roman" w:hAnsi="Times New Roman" w:eastAsia="方正仿宋_GBK"/>
          <w:sz w:val="32"/>
        </w:rPr>
        <w:t>使用效益，根据《四川省促进社会力量参与艾滋病防治办法》《四川省人民政府办公厅关于推进政府向社会力量购买服务工作的意见》《四川省人民政府关于全面加强艾滋病防治工作的意见》</w:t>
      </w:r>
      <w:r>
        <w:rPr>
          <w:rFonts w:ascii="Times New Roman" w:hAnsi="Times New Roman" w:eastAsia="方正仿宋_GBK"/>
          <w:sz w:val="32"/>
          <w:lang w:eastAsia="zh-CN"/>
        </w:rPr>
        <w:t>等文件</w:t>
      </w:r>
      <w:r>
        <w:rPr>
          <w:rFonts w:ascii="Times New Roman" w:hAnsi="Times New Roman" w:eastAsia="方正仿宋_GBK"/>
          <w:sz w:val="32"/>
        </w:rPr>
        <w:t>精神</w:t>
      </w:r>
      <w:r>
        <w:rPr>
          <w:rFonts w:ascii="Times New Roman" w:hAnsi="Times New Roman" w:eastAsia="方正仿宋_GBK"/>
          <w:sz w:val="32"/>
          <w:lang w:eastAsia="zh-CN"/>
        </w:rPr>
        <w:t>，</w:t>
      </w:r>
      <w:r>
        <w:rPr>
          <w:rFonts w:ascii="Times New Roman" w:hAnsi="Times New Roman" w:eastAsia="方正仿宋_GBK"/>
          <w:sz w:val="32"/>
          <w:lang w:val="en-US" w:eastAsia="zh-CN"/>
        </w:rPr>
        <w:t>参照《社会组织参与艾滋病防治基金项目管理手册》</w:t>
      </w:r>
      <w:r>
        <w:rPr>
          <w:rFonts w:ascii="Times New Roman" w:hAnsi="Times New Roman" w:eastAsia="方正仿宋_GBK"/>
          <w:sz w:val="32"/>
        </w:rPr>
        <w:t>《四川省性病艾滋病防治协会艾滋病防治社会动员项目管理办法》，</w:t>
      </w:r>
      <w:r>
        <w:rPr>
          <w:rFonts w:ascii="Times New Roman" w:hAnsi="Times New Roman" w:eastAsia="方正仿宋_GBK"/>
          <w:sz w:val="32"/>
          <w:lang w:val="en-US" w:eastAsia="zh-CN"/>
        </w:rPr>
        <w:t>结合我市艾滋病疫情形式，拟定该方案。</w:t>
      </w:r>
    </w:p>
    <w:p>
      <w:pPr>
        <w:keepNext w:val="0"/>
        <w:keepLines w:val="0"/>
        <w:pageBreakBefore w:val="0"/>
        <w:widowControl w:val="0"/>
        <w:kinsoku/>
        <w:wordWrap/>
        <w:overflowPunct/>
        <w:topLinePunct w:val="0"/>
        <w:autoSpaceDE/>
        <w:autoSpaceDN/>
        <w:bidi w:val="0"/>
        <w:spacing w:line="560" w:lineRule="exact"/>
        <w:ind w:firstLine="640" w:firstLineChars="200"/>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一、项目执行时间</w:t>
      </w:r>
    </w:p>
    <w:p>
      <w:pPr>
        <w:keepNext w:val="0"/>
        <w:keepLines w:val="0"/>
        <w:pageBreakBefore w:val="0"/>
        <w:widowControl w:val="0"/>
        <w:kinsoku/>
        <w:wordWrap/>
        <w:overflowPunct/>
        <w:topLinePunct w:val="0"/>
        <w:autoSpaceDE/>
        <w:autoSpaceDN/>
        <w:bidi w:val="0"/>
        <w:spacing w:line="560" w:lineRule="exact"/>
        <w:ind w:firstLine="640" w:firstLineChars="200"/>
        <w:rPr>
          <w:rFonts w:ascii="Times New Roman" w:hAnsi="Times New Roman" w:eastAsia="方正仿宋_GBK"/>
          <w:sz w:val="32"/>
          <w:lang w:val="en-US" w:eastAsia="zh-CN"/>
        </w:rPr>
      </w:pPr>
      <w:r>
        <w:rPr>
          <w:rFonts w:ascii="Times New Roman" w:hAnsi="Times New Roman" w:eastAsia="方正仿宋_GBK"/>
          <w:sz w:val="32"/>
          <w:lang w:val="en-US" w:eastAsia="zh-CN"/>
        </w:rPr>
        <w:t>2026年</w:t>
      </w:r>
      <w:r>
        <w:rPr>
          <w:rFonts w:hint="eastAsia" w:ascii="Times New Roman" w:hAnsi="Times New Roman" w:eastAsia="方正仿宋_GBK"/>
          <w:sz w:val="32"/>
          <w:lang w:val="en-US" w:eastAsia="zh-CN"/>
        </w:rPr>
        <w:t>8</w:t>
      </w:r>
      <w:r>
        <w:rPr>
          <w:rFonts w:ascii="Times New Roman" w:hAnsi="Times New Roman" w:eastAsia="方正仿宋_GBK"/>
          <w:sz w:val="32"/>
          <w:lang w:val="en-US" w:eastAsia="zh-CN"/>
        </w:rPr>
        <w:t>月1日至202</w:t>
      </w:r>
      <w:r>
        <w:rPr>
          <w:rFonts w:hint="eastAsia" w:ascii="Times New Roman" w:hAnsi="Times New Roman" w:eastAsia="方正仿宋_GBK"/>
          <w:sz w:val="32"/>
          <w:lang w:val="en-US" w:eastAsia="zh-CN"/>
        </w:rPr>
        <w:t>7</w:t>
      </w:r>
      <w:r>
        <w:rPr>
          <w:rFonts w:ascii="Times New Roman" w:hAnsi="Times New Roman" w:eastAsia="方正仿宋_GBK"/>
          <w:sz w:val="32"/>
          <w:lang w:val="en-US" w:eastAsia="zh-CN"/>
        </w:rPr>
        <w:t>年1月31日。</w:t>
      </w:r>
    </w:p>
    <w:p>
      <w:pPr>
        <w:keepNext w:val="0"/>
        <w:keepLines w:val="0"/>
        <w:pageBreakBefore w:val="0"/>
        <w:widowControl w:val="0"/>
        <w:kinsoku/>
        <w:wordWrap/>
        <w:overflowPunct/>
        <w:topLinePunct w:val="0"/>
        <w:autoSpaceDE/>
        <w:autoSpaceDN/>
        <w:bidi w:val="0"/>
        <w:spacing w:line="560" w:lineRule="exact"/>
        <w:ind w:firstLine="640" w:firstLineChars="200"/>
        <w:rPr>
          <w:rFonts w:ascii="方正黑体_GBK" w:hAnsi="方正黑体_GBK" w:eastAsia="方正黑体_GBK" w:cs="方正黑体_GBK"/>
          <w:sz w:val="32"/>
          <w:lang w:val="en-US" w:eastAsia="zh-CN"/>
        </w:rPr>
      </w:pPr>
      <w:r>
        <w:rPr>
          <w:rFonts w:ascii="方正黑体_GBK" w:hAnsi="方正黑体_GBK" w:eastAsia="方正黑体_GBK" w:cs="方正黑体_GBK"/>
          <w:sz w:val="32"/>
          <w:lang w:val="en-US" w:eastAsia="zh-CN"/>
        </w:rPr>
        <w:t>二、项目领域和范围</w:t>
      </w:r>
    </w:p>
    <w:p>
      <w:pPr>
        <w:keepNext w:val="0"/>
        <w:keepLines w:val="0"/>
        <w:pageBreakBefore w:val="0"/>
        <w:widowControl w:val="0"/>
        <w:kinsoku/>
        <w:wordWrap/>
        <w:overflowPunct/>
        <w:topLinePunct w:val="0"/>
        <w:autoSpaceDE/>
        <w:autoSpaceDN/>
        <w:bidi w:val="0"/>
        <w:spacing w:line="560" w:lineRule="exact"/>
        <w:ind w:firstLine="640" w:firstLineChars="200"/>
        <w:rPr>
          <w:rFonts w:ascii="Times New Roman" w:hAnsi="Times New Roman" w:eastAsia="方正仿宋_GBK"/>
          <w:sz w:val="32"/>
          <w:lang w:val="en-US" w:eastAsia="zh-CN"/>
        </w:rPr>
      </w:pPr>
      <w:r>
        <w:rPr>
          <w:rFonts w:ascii="Times New Roman" w:hAnsi="Times New Roman" w:eastAsia="方正仿宋_GBK"/>
          <w:sz w:val="32"/>
          <w:lang w:val="en-US" w:eastAsia="zh-CN"/>
        </w:rPr>
        <w:t>主要支持社会组织开展以下2类领域活动：</w:t>
      </w:r>
    </w:p>
    <w:p>
      <w:pPr>
        <w:keepNext w:val="0"/>
        <w:keepLines w:val="0"/>
        <w:pageBreakBefore w:val="0"/>
        <w:widowControl w:val="0"/>
        <w:kinsoku/>
        <w:wordWrap/>
        <w:overflowPunct/>
        <w:topLinePunct w:val="0"/>
        <w:autoSpaceDE/>
        <w:autoSpaceDN/>
        <w:bidi w:val="0"/>
        <w:spacing w:line="560" w:lineRule="exact"/>
        <w:ind w:firstLine="643" w:firstLineChars="200"/>
        <w:rPr>
          <w:rFonts w:ascii="Times New Roman" w:hAnsi="Times New Roman" w:eastAsia="方正仿宋_GBK"/>
          <w:sz w:val="32"/>
          <w:lang w:val="en-US" w:eastAsia="zh-CN"/>
        </w:rPr>
      </w:pPr>
      <w:r>
        <w:rPr>
          <w:rFonts w:ascii="方正楷体_GBK" w:hAnsi="方正楷体_GBK" w:eastAsia="方正楷体_GBK" w:cs="方正楷体_GBK"/>
          <w:b/>
          <w:bCs/>
          <w:sz w:val="32"/>
          <w:lang w:val="en-US" w:eastAsia="zh-CN"/>
        </w:rPr>
        <w:t>（一）流动人口、青少年学生宣传（A类）。</w:t>
      </w:r>
      <w:r>
        <w:rPr>
          <w:rFonts w:ascii="Times New Roman" w:hAnsi="Times New Roman" w:eastAsia="方正仿宋_GBK"/>
          <w:sz w:val="32"/>
          <w:lang w:val="en-US" w:eastAsia="zh-CN"/>
        </w:rPr>
        <w:t>在车站码头、建筑工地开展流动人口健康宣传、发放宣传材料，提高目标人群艾滋病防治知识知晓率。针对大中专院校、中职学校在校青少年学生开展适宜的艾滋病</w:t>
      </w:r>
      <w:r>
        <w:rPr>
          <w:rFonts w:hint="eastAsia" w:ascii="Times New Roman" w:hAnsi="Times New Roman" w:eastAsia="方正仿宋_GBK"/>
          <w:sz w:val="32"/>
          <w:lang w:val="en-US" w:eastAsia="zh-CN"/>
        </w:rPr>
        <w:t>、</w:t>
      </w:r>
      <w:r>
        <w:rPr>
          <w:rFonts w:ascii="Times New Roman" w:hAnsi="Times New Roman" w:eastAsia="方正仿宋_GBK"/>
          <w:sz w:val="32"/>
          <w:lang w:val="en-US" w:eastAsia="zh-CN"/>
        </w:rPr>
        <w:t>性病预防宣传教育，提高青少年学生艾滋病防病意识。</w:t>
      </w:r>
    </w:p>
    <w:p>
      <w:pPr>
        <w:keepNext w:val="0"/>
        <w:keepLines w:val="0"/>
        <w:pageBreakBefore w:val="0"/>
        <w:widowControl w:val="0"/>
        <w:kinsoku/>
        <w:wordWrap/>
        <w:overflowPunct/>
        <w:topLinePunct w:val="0"/>
        <w:autoSpaceDE/>
        <w:autoSpaceDN/>
        <w:bidi w:val="0"/>
        <w:spacing w:line="560" w:lineRule="exact"/>
        <w:ind w:firstLine="643" w:firstLineChars="200"/>
        <w:rPr>
          <w:rFonts w:ascii="Times New Roman" w:hAnsi="Times New Roman" w:eastAsia="方正仿宋_GBK"/>
          <w:sz w:val="32"/>
          <w:lang w:val="en-US" w:eastAsia="zh-CN"/>
        </w:rPr>
      </w:pPr>
      <w:r>
        <w:rPr>
          <w:rFonts w:ascii="方正楷体_GBK" w:hAnsi="方正楷体_GBK" w:eastAsia="方正楷体_GBK" w:cs="方正楷体_GBK"/>
          <w:b/>
          <w:bCs/>
          <w:sz w:val="32"/>
          <w:lang w:val="en-US" w:eastAsia="zh-CN"/>
        </w:rPr>
        <w:t>（二）重点人群干预（B类）。</w:t>
      </w:r>
      <w:r>
        <w:rPr>
          <w:rFonts w:ascii="Times New Roman" w:hAnsi="Times New Roman" w:eastAsia="方正仿宋_GBK"/>
          <w:sz w:val="32"/>
          <w:lang w:val="en-US" w:eastAsia="zh-CN"/>
        </w:rPr>
        <w:t>在宣传教育的基础上，重点提高失足妇女、男男性行为者、中老年男性等人群安全套使用率，推广艾滋病检测信息、方法及途径等，发放安全套和润滑油，提供性病诊疗服务信息和转介。</w:t>
      </w:r>
    </w:p>
    <w:p>
      <w:pPr>
        <w:keepNext w:val="0"/>
        <w:keepLines w:val="0"/>
        <w:pageBreakBefore w:val="0"/>
        <w:widowControl w:val="0"/>
        <w:kinsoku/>
        <w:wordWrap/>
        <w:overflowPunct/>
        <w:topLinePunct w:val="0"/>
        <w:autoSpaceDE/>
        <w:autoSpaceDN/>
        <w:bidi w:val="0"/>
        <w:spacing w:line="560" w:lineRule="exact"/>
        <w:ind w:firstLine="640" w:firstLineChars="200"/>
        <w:rPr>
          <w:rFonts w:hint="default" w:ascii="方正黑体_GBK" w:hAnsi="方正黑体_GBK" w:eastAsia="方正黑体_GBK" w:cs="方正黑体_GBK"/>
          <w:sz w:val="32"/>
          <w:lang w:val="en-US" w:eastAsia="zh-CN"/>
        </w:rPr>
      </w:pPr>
      <w:r>
        <w:rPr>
          <w:rFonts w:ascii="方正黑体_GBK" w:hAnsi="方正黑体_GBK" w:eastAsia="方正黑体_GBK" w:cs="方正黑体_GBK"/>
          <w:sz w:val="32"/>
          <w:lang w:val="en-US" w:eastAsia="zh-CN"/>
        </w:rPr>
        <w:t>三、经费预算</w:t>
      </w:r>
      <w:r>
        <w:rPr>
          <w:rFonts w:hint="eastAsia" w:ascii="方正黑体_GBK" w:hAnsi="方正黑体_GBK" w:eastAsia="方正黑体_GBK" w:cs="方正黑体_GBK"/>
          <w:sz w:val="32"/>
          <w:lang w:val="en-US" w:eastAsia="zh-CN"/>
        </w:rPr>
        <w:t>及拨付</w:t>
      </w:r>
    </w:p>
    <w:p>
      <w:pPr>
        <w:keepNext w:val="0"/>
        <w:keepLines w:val="0"/>
        <w:pageBreakBefore w:val="0"/>
        <w:widowControl w:val="0"/>
        <w:kinsoku/>
        <w:wordWrap/>
        <w:overflowPunct/>
        <w:topLinePunct w:val="0"/>
        <w:autoSpaceDE/>
        <w:autoSpaceDN/>
        <w:bidi w:val="0"/>
        <w:spacing w:line="560" w:lineRule="exact"/>
        <w:ind w:firstLine="643" w:firstLineChars="200"/>
        <w:rPr>
          <w:rFonts w:ascii="方正楷体_GBK" w:hAnsi="方正楷体_GBK" w:eastAsia="方正楷体_GBK" w:cs="方正楷体_GBK"/>
          <w:b/>
          <w:bCs/>
          <w:sz w:val="32"/>
          <w:lang w:val="en-US" w:eastAsia="zh-CN"/>
        </w:rPr>
      </w:pPr>
      <w:r>
        <w:rPr>
          <w:rFonts w:ascii="方正楷体_GBK" w:hAnsi="方正楷体_GBK" w:eastAsia="方正楷体_GBK" w:cs="方正楷体_GBK"/>
          <w:b/>
          <w:bCs/>
          <w:sz w:val="32"/>
          <w:lang w:val="en-US" w:eastAsia="zh-CN"/>
        </w:rPr>
        <w:t>（一）活动项目预算。</w:t>
      </w:r>
    </w:p>
    <w:p>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方正仿宋_GBK"/>
          <w:sz w:val="32"/>
          <w:lang w:val="en-US" w:eastAsia="zh-CN"/>
        </w:rPr>
      </w:pPr>
      <w:r>
        <w:rPr>
          <w:rFonts w:ascii="Times New Roman" w:hAnsi="Times New Roman" w:eastAsia="方正仿宋_GBK"/>
          <w:sz w:val="32"/>
          <w:lang w:val="en-US" w:eastAsia="zh-CN"/>
        </w:rPr>
        <w:t>1.流动人口、青少年学生宣传：服务单价不高于5元/人，预算总额小于等于“宣传教育覆盖人数*服务单价”。宣传类项目预算总额不低于0.5万元，不高于0.8万元。</w:t>
      </w:r>
      <w:r>
        <w:rPr>
          <w:rFonts w:hint="eastAsia" w:ascii="Times New Roman" w:hAnsi="Times New Roman" w:eastAsia="方正仿宋_GBK"/>
          <w:sz w:val="32"/>
          <w:lang w:val="en-US" w:eastAsia="zh-CN"/>
        </w:rPr>
        <w:t>允许多个机构进行申报，但服务地点和服务人群不能重复。</w:t>
      </w:r>
    </w:p>
    <w:p>
      <w:pPr>
        <w:keepNext w:val="0"/>
        <w:keepLines w:val="0"/>
        <w:pageBreakBefore w:val="0"/>
        <w:widowControl w:val="0"/>
        <w:kinsoku/>
        <w:wordWrap/>
        <w:overflowPunct/>
        <w:topLinePunct w:val="0"/>
        <w:autoSpaceDE/>
        <w:autoSpaceDN/>
        <w:bidi w:val="0"/>
        <w:spacing w:line="560" w:lineRule="exact"/>
        <w:ind w:firstLine="640" w:firstLineChars="200"/>
        <w:rPr>
          <w:rFonts w:hint="default" w:ascii="Times New Roman" w:hAnsi="Times New Roman" w:eastAsia="方正仿宋_GBK"/>
          <w:sz w:val="32"/>
          <w:lang w:val="en-US" w:eastAsia="zh-CN"/>
        </w:rPr>
      </w:pPr>
      <w:r>
        <w:rPr>
          <w:rFonts w:ascii="Times New Roman" w:hAnsi="Times New Roman" w:eastAsia="方正仿宋_GBK"/>
          <w:sz w:val="32"/>
          <w:lang w:val="en-US" w:eastAsia="zh-CN"/>
        </w:rPr>
        <w:t>2.高危重点人群干预：服务单价不高于150元/人，预算总额小于等于“干预检测人数*服务单价”。干预类项目（含重点人群干预干预检测）预算总额不低于1万元，不高于2万元。</w:t>
      </w:r>
      <w:r>
        <w:rPr>
          <w:rFonts w:hint="eastAsia" w:ascii="Times New Roman" w:hAnsi="Times New Roman" w:eastAsia="方正仿宋_GBK"/>
          <w:sz w:val="32"/>
          <w:lang w:val="en-US" w:eastAsia="zh-CN"/>
        </w:rPr>
        <w:t>允许多个机构进行申报，但服务地点和服务人群不能重复。</w:t>
      </w:r>
    </w:p>
    <w:p>
      <w:pPr>
        <w:keepNext w:val="0"/>
        <w:keepLines w:val="0"/>
        <w:pageBreakBefore w:val="0"/>
        <w:widowControl w:val="0"/>
        <w:kinsoku/>
        <w:wordWrap/>
        <w:overflowPunct/>
        <w:topLinePunct w:val="0"/>
        <w:autoSpaceDE/>
        <w:autoSpaceDN/>
        <w:bidi w:val="0"/>
        <w:spacing w:line="560" w:lineRule="exact"/>
        <w:ind w:firstLine="643" w:firstLineChars="200"/>
        <w:rPr>
          <w:rFonts w:hint="eastAsia" w:ascii="方正楷体_GBK" w:hAnsi="方正楷体_GBK" w:eastAsia="方正楷体_GBK" w:cs="方正楷体_GBK"/>
          <w:b/>
          <w:bCs/>
          <w:sz w:val="32"/>
          <w:lang w:val="en-US" w:eastAsia="zh-CN"/>
        </w:rPr>
      </w:pPr>
      <w:r>
        <w:rPr>
          <w:rFonts w:hint="eastAsia" w:ascii="方正楷体_GBK" w:hAnsi="方正楷体_GBK" w:eastAsia="方正楷体_GBK" w:cs="方正楷体_GBK"/>
          <w:b/>
          <w:bCs/>
          <w:sz w:val="32"/>
          <w:lang w:val="en-US" w:eastAsia="zh-CN"/>
        </w:rPr>
        <w:t xml:space="preserve">（二）总经费预算      </w:t>
      </w:r>
    </w:p>
    <w:p>
      <w:pPr>
        <w:keepNext w:val="0"/>
        <w:keepLines w:val="0"/>
        <w:pageBreakBefore w:val="0"/>
        <w:widowControl w:val="0"/>
        <w:kinsoku/>
        <w:wordWrap/>
        <w:overflowPunct/>
        <w:topLinePunct w:val="0"/>
        <w:autoSpaceDE/>
        <w:autoSpaceDN/>
        <w:bidi w:val="0"/>
        <w:spacing w:line="560" w:lineRule="exact"/>
        <w:ind w:firstLine="640" w:firstLineChars="200"/>
        <w:rPr>
          <w:rFonts w:ascii="Times New Roman" w:hAnsi="Times New Roman" w:eastAsia="方正仿宋_GBK"/>
          <w:sz w:val="32"/>
          <w:lang w:val="en-US" w:eastAsia="zh-CN"/>
        </w:rPr>
      </w:pPr>
      <w:r>
        <w:rPr>
          <w:rFonts w:ascii="Times New Roman" w:hAnsi="Times New Roman" w:eastAsia="方正仿宋_GBK"/>
          <w:sz w:val="32"/>
          <w:lang w:val="en-US" w:eastAsia="zh-CN"/>
        </w:rPr>
        <w:t>1.支持社会组织</w:t>
      </w:r>
      <w:r>
        <w:rPr>
          <w:rFonts w:hint="eastAsia" w:ascii="Times New Roman" w:hAnsi="Times New Roman" w:eastAsia="方正仿宋_GBK"/>
          <w:sz w:val="32"/>
          <w:lang w:val="en-US" w:eastAsia="zh-CN"/>
        </w:rPr>
        <w:t>、学校团体</w:t>
      </w:r>
      <w:r>
        <w:rPr>
          <w:rFonts w:ascii="Times New Roman" w:hAnsi="Times New Roman" w:eastAsia="方正仿宋_GBK"/>
          <w:sz w:val="32"/>
          <w:lang w:val="en-US" w:eastAsia="zh-CN"/>
        </w:rPr>
        <w:t>开展活动总经费不超过12.00万元，按照实际申报情况审核。</w:t>
      </w:r>
    </w:p>
    <w:p>
      <w:pPr>
        <w:keepNext w:val="0"/>
        <w:keepLines w:val="0"/>
        <w:pageBreakBefore w:val="0"/>
        <w:widowControl w:val="0"/>
        <w:kinsoku/>
        <w:wordWrap/>
        <w:overflowPunct/>
        <w:topLinePunct w:val="0"/>
        <w:autoSpaceDE/>
        <w:autoSpaceDN/>
        <w:bidi w:val="0"/>
        <w:spacing w:line="560" w:lineRule="exact"/>
        <w:ind w:firstLine="640" w:firstLineChars="200"/>
        <w:rPr>
          <w:rFonts w:ascii="Times New Roman" w:hAnsi="Times New Roman" w:eastAsia="方正仿宋_GBK"/>
          <w:sz w:val="32"/>
          <w:lang w:val="en-US" w:eastAsia="zh-CN"/>
        </w:rPr>
      </w:pPr>
      <w:r>
        <w:rPr>
          <w:rFonts w:ascii="Times New Roman" w:hAnsi="Times New Roman" w:eastAsia="方正仿宋_GBK"/>
          <w:sz w:val="32"/>
          <w:lang w:val="en-US" w:eastAsia="zh-CN"/>
        </w:rPr>
        <w:t>2.市项目办运行经费1.00万元，用于培训、工作质控、专家评审费、专家授课费等工作。</w:t>
      </w:r>
    </w:p>
    <w:p>
      <w:pPr>
        <w:keepNext w:val="0"/>
        <w:keepLines w:val="0"/>
        <w:pageBreakBefore w:val="0"/>
        <w:widowControl w:val="0"/>
        <w:kinsoku/>
        <w:wordWrap/>
        <w:overflowPunct/>
        <w:topLinePunct w:val="0"/>
        <w:autoSpaceDE/>
        <w:autoSpaceDN/>
        <w:bidi w:val="0"/>
        <w:spacing w:line="560" w:lineRule="exact"/>
        <w:ind w:firstLine="643" w:firstLineChars="200"/>
        <w:rPr>
          <w:rFonts w:hint="eastAsia" w:ascii="方正楷体_GBK" w:hAnsi="方正楷体_GBK" w:eastAsia="方正楷体_GBK" w:cs="方正楷体_GBK"/>
          <w:b/>
          <w:bCs/>
          <w:sz w:val="32"/>
          <w:lang w:val="en-US" w:eastAsia="zh-CN"/>
        </w:rPr>
      </w:pPr>
      <w:r>
        <w:rPr>
          <w:rFonts w:hint="eastAsia" w:ascii="方正楷体_GBK" w:hAnsi="方正楷体_GBK" w:eastAsia="方正楷体_GBK" w:cs="方正楷体_GBK"/>
          <w:b/>
          <w:bCs/>
          <w:sz w:val="32"/>
          <w:lang w:val="en-US" w:eastAsia="zh-CN"/>
        </w:rPr>
        <w:t>（三）经费来源</w:t>
      </w:r>
    </w:p>
    <w:p>
      <w:pPr>
        <w:keepNext w:val="0"/>
        <w:keepLines w:val="0"/>
        <w:pageBreakBefore w:val="0"/>
        <w:widowControl w:val="0"/>
        <w:kinsoku/>
        <w:wordWrap/>
        <w:overflowPunct/>
        <w:topLinePunct w:val="0"/>
        <w:autoSpaceDE/>
        <w:autoSpaceDN/>
        <w:bidi w:val="0"/>
        <w:spacing w:line="560" w:lineRule="exact"/>
        <w:ind w:firstLine="640" w:firstLineChars="200"/>
        <w:rPr>
          <w:rFonts w:ascii="Times New Roman" w:hAnsi="Times New Roman" w:eastAsia="方正仿宋_GBK"/>
          <w:sz w:val="32"/>
          <w:lang w:val="en-US" w:eastAsia="zh-CN"/>
        </w:rPr>
      </w:pPr>
      <w:r>
        <w:rPr>
          <w:rFonts w:hint="eastAsia" w:ascii="Times New Roman" w:hAnsi="Times New Roman" w:eastAsia="方正仿宋_GBK"/>
          <w:sz w:val="32"/>
          <w:lang w:val="en-US" w:eastAsia="zh-CN"/>
        </w:rPr>
        <w:t>项</w:t>
      </w:r>
      <w:r>
        <w:rPr>
          <w:rFonts w:ascii="Times New Roman" w:hAnsi="Times New Roman" w:eastAsia="方正仿宋_GBK"/>
          <w:sz w:val="32"/>
          <w:lang w:val="en-US" w:eastAsia="zh-CN"/>
        </w:rPr>
        <w:t>目经费从《2025年疾病预防控制省级补助资金》中列支。</w:t>
      </w:r>
    </w:p>
    <w:p>
      <w:pPr>
        <w:widowControl w:val="0"/>
        <w:spacing w:after="120" w:line="578" w:lineRule="exact"/>
        <w:ind w:firstLine="643" w:firstLineChars="200"/>
        <w:jc w:val="both"/>
        <w:rPr>
          <w:rFonts w:hint="eastAsia" w:ascii="方正楷体_GBK" w:hAnsi="方正楷体_GBK" w:eastAsia="方正楷体_GBK" w:cs="方正楷体_GBK"/>
          <w:b/>
          <w:bCs/>
          <w:kern w:val="2"/>
          <w:sz w:val="32"/>
          <w:szCs w:val="24"/>
          <w:lang w:val="en-US" w:eastAsia="zh-CN" w:bidi="ar-SA"/>
        </w:rPr>
      </w:pPr>
      <w:r>
        <w:rPr>
          <w:rFonts w:hint="eastAsia" w:ascii="方正楷体_GBK" w:hAnsi="方正楷体_GBK" w:eastAsia="方正楷体_GBK" w:cs="方正楷体_GBK"/>
          <w:b/>
          <w:bCs/>
          <w:kern w:val="2"/>
          <w:sz w:val="32"/>
          <w:szCs w:val="24"/>
          <w:lang w:val="en-US" w:eastAsia="zh-CN" w:bidi="ar-SA"/>
        </w:rPr>
        <w:t>（四）经费拨付方式</w:t>
      </w:r>
    </w:p>
    <w:p>
      <w:pPr>
        <w:keepNext w:val="0"/>
        <w:keepLines w:val="0"/>
        <w:pageBreakBefore w:val="0"/>
        <w:widowControl w:val="0"/>
        <w:kinsoku/>
        <w:wordWrap/>
        <w:overflowPunct/>
        <w:topLinePunct w:val="0"/>
        <w:autoSpaceDE/>
        <w:autoSpaceDN/>
        <w:bidi w:val="0"/>
        <w:spacing w:line="560" w:lineRule="exact"/>
        <w:ind w:firstLine="640" w:firstLineChars="200"/>
        <w:rPr>
          <w:rFonts w:hint="eastAsia" w:ascii="Times New Roman" w:hAnsi="Times New Roman" w:eastAsia="方正仿宋_GBK"/>
          <w:sz w:val="32"/>
          <w:lang w:val="en-US" w:eastAsia="zh-CN"/>
        </w:rPr>
      </w:pPr>
      <w:r>
        <w:rPr>
          <w:rFonts w:hint="eastAsia" w:ascii="Times New Roman" w:hAnsi="Times New Roman" w:eastAsia="方正仿宋_GBK"/>
          <w:sz w:val="32"/>
          <w:lang w:val="en-US" w:eastAsia="zh-CN"/>
        </w:rPr>
        <w:t>项目经费将分三次拨付项目实施组织，项目实施前预拨付50%项目经费，中期评估结束后项目实施组织按照要求完成项目预期进度拨付30%项目经费，项目结束项目实施组织接受终期评估并完成项目任务拨付20%项目经费。</w:t>
      </w:r>
    </w:p>
    <w:p>
      <w:pPr>
        <w:keepNext w:val="0"/>
        <w:keepLines w:val="0"/>
        <w:pageBreakBefore w:val="0"/>
        <w:widowControl w:val="0"/>
        <w:kinsoku/>
        <w:wordWrap/>
        <w:overflowPunct/>
        <w:topLinePunct w:val="0"/>
        <w:autoSpaceDE/>
        <w:autoSpaceDN/>
        <w:bidi w:val="0"/>
        <w:spacing w:line="560" w:lineRule="exact"/>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由于客观原因不能按期完成项目的，项目</w:t>
      </w:r>
      <w:r>
        <w:rPr>
          <w:rFonts w:hint="eastAsia" w:ascii="Times New Roman" w:hAnsi="Times New Roman" w:eastAsia="方正仿宋_GBK" w:cs="Times New Roman"/>
          <w:color w:val="000000"/>
          <w:sz w:val="32"/>
          <w:szCs w:val="32"/>
          <w:lang w:val="en-US" w:eastAsia="zh-CN"/>
        </w:rPr>
        <w:t>实施组织</w:t>
      </w:r>
      <w:r>
        <w:rPr>
          <w:rFonts w:ascii="Times New Roman" w:hAnsi="Times New Roman" w:eastAsia="方正仿宋_GBK" w:cs="Times New Roman"/>
          <w:color w:val="000000"/>
          <w:sz w:val="32"/>
          <w:szCs w:val="32"/>
        </w:rPr>
        <w:t>可</w:t>
      </w:r>
      <w:r>
        <w:rPr>
          <w:rFonts w:ascii="Times New Roman" w:hAnsi="Times New Roman" w:eastAsia="方正仿宋_GBK" w:cs="Times New Roman"/>
          <w:color w:val="000000"/>
          <w:sz w:val="32"/>
          <w:szCs w:val="32"/>
          <w:lang w:val="en-US" w:eastAsia="zh-CN"/>
        </w:rPr>
        <w:t>申请中止项目。提交中止申请由项目办组织专家核实项目工作和经费使用，做出相应处理意见。提请中止项目</w:t>
      </w:r>
      <w:r>
        <w:rPr>
          <w:rFonts w:hint="eastAsia" w:ascii="Times New Roman" w:hAnsi="Times New Roman" w:eastAsia="方正仿宋_GBK" w:cs="Times New Roman"/>
          <w:color w:val="000000"/>
          <w:sz w:val="32"/>
          <w:szCs w:val="32"/>
          <w:lang w:val="en-US" w:eastAsia="zh-CN"/>
        </w:rPr>
        <w:t>实施组织</w:t>
      </w:r>
      <w:r>
        <w:rPr>
          <w:rFonts w:ascii="Times New Roman" w:hAnsi="Times New Roman" w:eastAsia="方正仿宋_GBK" w:cs="Times New Roman"/>
          <w:color w:val="000000"/>
          <w:sz w:val="32"/>
          <w:szCs w:val="32"/>
          <w:lang w:val="en-US" w:eastAsia="zh-CN"/>
        </w:rPr>
        <w:t>，3年内不得再次申请项目</w:t>
      </w:r>
      <w:r>
        <w:rPr>
          <w:rFonts w:ascii="Times New Roman" w:hAnsi="Times New Roman" w:eastAsia="方正仿宋_GBK" w:cs="Times New Roman"/>
          <w:color w:val="000000"/>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rPr>
          <w:rFonts w:hint="default" w:ascii="方正黑体_GBK" w:hAnsi="方正黑体_GBK" w:eastAsia="方正黑体_GBK" w:cs="方正黑体_GBK"/>
          <w:color w:val="FF0000"/>
          <w:sz w:val="32"/>
          <w:lang w:val="en-US" w:eastAsia="zh-CN"/>
        </w:rPr>
      </w:pPr>
      <w:r>
        <w:rPr>
          <w:rFonts w:ascii="方正黑体_GBK" w:hAnsi="方正黑体_GBK" w:eastAsia="方正黑体_GBK" w:cs="方正黑体_GBK"/>
          <w:sz w:val="32"/>
          <w:lang w:val="en-US" w:eastAsia="zh-CN"/>
        </w:rPr>
        <w:t>四、</w:t>
      </w:r>
      <w:r>
        <w:rPr>
          <w:rFonts w:hint="eastAsia" w:ascii="方正黑体_GBK" w:hAnsi="方正黑体_GBK" w:eastAsia="方正黑体_GBK" w:cs="方正黑体_GBK"/>
          <w:color w:val="auto"/>
          <w:sz w:val="32"/>
          <w:lang w:val="en-US" w:eastAsia="zh-CN"/>
        </w:rPr>
        <w:t>活动内容及考核办法</w:t>
      </w:r>
    </w:p>
    <w:p>
      <w:pPr>
        <w:widowControl w:val="0"/>
        <w:spacing w:after="120" w:line="578" w:lineRule="exact"/>
        <w:ind w:firstLine="643" w:firstLineChars="200"/>
        <w:jc w:val="both"/>
        <w:rPr>
          <w:rFonts w:hint="eastAsia" w:ascii="方正楷体_GBK" w:hAnsi="方正楷体_GBK" w:eastAsia="方正楷体_GBK" w:cs="方正楷体_GBK"/>
          <w:b/>
          <w:bCs/>
          <w:kern w:val="2"/>
          <w:sz w:val="32"/>
          <w:szCs w:val="24"/>
          <w:lang w:val="en-US" w:eastAsia="zh-CN" w:bidi="ar-SA"/>
        </w:rPr>
      </w:pPr>
      <w:r>
        <w:rPr>
          <w:rFonts w:hint="eastAsia" w:ascii="方正楷体_GBK" w:hAnsi="方正楷体_GBK" w:eastAsia="方正楷体_GBK" w:cs="方正楷体_GBK"/>
          <w:b/>
          <w:bCs/>
          <w:kern w:val="2"/>
          <w:sz w:val="32"/>
          <w:szCs w:val="24"/>
          <w:lang w:val="en-US" w:eastAsia="zh-CN" w:bidi="ar-SA"/>
        </w:rPr>
        <w:t>（一）流动人口、青少年学生宣传</w:t>
      </w:r>
    </w:p>
    <w:p>
      <w:pPr>
        <w:keepNext w:val="0"/>
        <w:keepLines w:val="0"/>
        <w:pageBreakBefore w:val="0"/>
        <w:widowControl w:val="0"/>
        <w:kinsoku/>
        <w:wordWrap/>
        <w:overflowPunct/>
        <w:topLinePunct w:val="0"/>
        <w:bidi w:val="0"/>
        <w:spacing w:line="580" w:lineRule="exact"/>
        <w:ind w:firstLine="643" w:firstLineChars="200"/>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1.流动人口</w:t>
      </w:r>
    </w:p>
    <w:p>
      <w:pPr>
        <w:keepNext w:val="0"/>
        <w:keepLines w:val="0"/>
        <w:pageBreakBefore w:val="0"/>
        <w:widowControl w:val="0"/>
        <w:kinsoku/>
        <w:wordWrap/>
        <w:overflowPunct/>
        <w:topLinePunct w:val="0"/>
        <w:bidi w:val="0"/>
        <w:spacing w:line="580" w:lineRule="exact"/>
        <w:ind w:firstLine="643" w:firstLineChars="200"/>
        <w:rPr>
          <w:rFonts w:ascii="Times New Roman" w:hAnsi="Times New Roman" w:eastAsia="方正仿宋_GBK" w:cs="Times New Roman"/>
          <w:sz w:val="32"/>
          <w:szCs w:val="32"/>
        </w:rPr>
      </w:pPr>
      <w:r>
        <w:rPr>
          <w:rFonts w:hint="eastAsia" w:ascii="方正仿宋_GBK" w:hAnsi="方正仿宋_GBK" w:eastAsia="方正仿宋_GBK" w:cs="方正仿宋_GBK"/>
          <w:b/>
          <w:bCs/>
          <w:sz w:val="32"/>
          <w:szCs w:val="32"/>
          <w:lang w:val="en-US" w:eastAsia="zh-CN"/>
        </w:rPr>
        <w:t>1.1</w:t>
      </w:r>
      <w:r>
        <w:rPr>
          <w:rFonts w:ascii="Times New Roman" w:hAnsi="Times New Roman" w:eastAsia="方正仿宋_GBK" w:cs="Times New Roman"/>
          <w:b/>
          <w:bCs/>
          <w:sz w:val="32"/>
          <w:szCs w:val="32"/>
        </w:rPr>
        <w:t>宣教活动</w:t>
      </w:r>
      <w:r>
        <w:rPr>
          <w:rFonts w:hint="eastAsia" w:ascii="Times New Roman" w:hAnsi="Times New Roman" w:eastAsia="方正仿宋_GBK" w:cs="Times New Roman"/>
          <w:b/>
          <w:bCs/>
          <w:sz w:val="32"/>
          <w:szCs w:val="32"/>
          <w:lang w:val="en-US" w:eastAsia="zh-CN"/>
        </w:rPr>
        <w:t>内容</w:t>
      </w:r>
      <w:r>
        <w:rPr>
          <w:rFonts w:hint="eastAsia" w:ascii="Times New Roman" w:hAnsi="Times New Roman" w:eastAsia="方正仿宋_GBK" w:cs="Times New Roman"/>
          <w:b/>
          <w:bCs/>
          <w:sz w:val="32"/>
          <w:szCs w:val="32"/>
          <w:lang w:eastAsia="zh-CN"/>
        </w:rPr>
        <w:t>。</w:t>
      </w:r>
      <w:r>
        <w:rPr>
          <w:rFonts w:ascii="Times New Roman" w:hAnsi="Times New Roman" w:eastAsia="方正仿宋_GBK" w:cs="Times New Roman"/>
          <w:sz w:val="32"/>
          <w:szCs w:val="32"/>
        </w:rPr>
        <w:t>主要围绕预防艾滋病与性病知识、促进健康行为、拒绝毒品（包括新型合成毒品使用）、性与生殖健康教育和生命教育，</w:t>
      </w:r>
      <w:r>
        <w:rPr>
          <w:rFonts w:ascii="Times New Roman" w:hAnsi="Times New Roman" w:eastAsia="方正仿宋_GBK" w:cs="Times New Roman"/>
          <w:sz w:val="32"/>
          <w:szCs w:val="32"/>
          <w:lang w:eastAsia="zh-CN"/>
        </w:rPr>
        <w:t>以</w:t>
      </w:r>
      <w:r>
        <w:rPr>
          <w:rFonts w:ascii="Times New Roman" w:hAnsi="Times New Roman" w:eastAsia="方正仿宋_GBK" w:cs="Times New Roman"/>
          <w:sz w:val="32"/>
          <w:szCs w:val="32"/>
        </w:rPr>
        <w:t>及宣传国家艾滋病防治政策</w:t>
      </w:r>
      <w:r>
        <w:rPr>
          <w:rFonts w:ascii="Times New Roman" w:hAnsi="Times New Roman" w:eastAsia="方正仿宋_GBK" w:cs="Times New Roman"/>
          <w:sz w:val="32"/>
          <w:szCs w:val="32"/>
          <w:lang w:eastAsia="zh-CN"/>
        </w:rPr>
        <w:t>和</w:t>
      </w:r>
      <w:r>
        <w:rPr>
          <w:rFonts w:ascii="Times New Roman" w:hAnsi="Times New Roman" w:eastAsia="方正仿宋_GBK" w:cs="Times New Roman"/>
          <w:sz w:val="32"/>
          <w:szCs w:val="32"/>
        </w:rPr>
        <w:t>减少艾滋病歧视等。</w:t>
      </w:r>
    </w:p>
    <w:p>
      <w:pPr>
        <w:keepNext w:val="0"/>
        <w:keepLines w:val="0"/>
        <w:pageBreakBefore w:val="0"/>
        <w:widowControl w:val="0"/>
        <w:kinsoku/>
        <w:wordWrap/>
        <w:overflowPunct/>
        <w:topLinePunct w:val="0"/>
        <w:bidi w:val="0"/>
        <w:spacing w:line="580" w:lineRule="exact"/>
        <w:ind w:firstLine="643" w:firstLineChars="200"/>
        <w:rPr>
          <w:rFonts w:ascii="Times New Roman" w:hAnsi="Times New Roman" w:eastAsia="方正仿宋_GBK" w:cs="Times New Roman"/>
          <w:color w:val="000000"/>
          <w:sz w:val="32"/>
          <w:szCs w:val="32"/>
        </w:rPr>
      </w:pPr>
      <w:r>
        <w:rPr>
          <w:rFonts w:hint="eastAsia" w:ascii="Times New Roman" w:hAnsi="Times New Roman" w:eastAsia="方正仿宋_GBK" w:cs="Times New Roman"/>
          <w:b/>
          <w:bCs/>
          <w:sz w:val="32"/>
          <w:szCs w:val="32"/>
          <w:lang w:val="en-US" w:eastAsia="zh-CN"/>
        </w:rPr>
        <w:t>1.2考核办法。</w:t>
      </w:r>
      <w:r>
        <w:rPr>
          <w:rFonts w:ascii="Times New Roman" w:hAnsi="Times New Roman" w:eastAsia="方正仿宋_GBK" w:cs="Times New Roman"/>
          <w:color w:val="000000"/>
          <w:sz w:val="32"/>
          <w:szCs w:val="32"/>
        </w:rPr>
        <w:t>每场宣传活动至少覆盖100人，计为1场；宣传服务对象在项目周期内至少接受健康教育、安全套推广和咨询检测促进等服务2次，记为1人</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sz w:val="32"/>
          <w:szCs w:val="32"/>
        </w:rPr>
        <w:t>项目结束时，艾滋病相关知识知晓率达到90%以上</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调查人数不得低于200人。</w:t>
      </w:r>
    </w:p>
    <w:p>
      <w:pPr>
        <w:keepNext w:val="0"/>
        <w:keepLines w:val="0"/>
        <w:pageBreakBefore w:val="0"/>
        <w:widowControl w:val="0"/>
        <w:kinsoku/>
        <w:wordWrap/>
        <w:overflowPunct/>
        <w:topLinePunct w:val="0"/>
        <w:bidi w:val="0"/>
        <w:spacing w:line="580" w:lineRule="exact"/>
        <w:ind w:firstLine="643" w:firstLineChars="200"/>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val="en-US" w:eastAsia="zh-CN"/>
        </w:rPr>
        <w:t>2.</w:t>
      </w:r>
      <w:r>
        <w:rPr>
          <w:rFonts w:hint="eastAsia" w:ascii="方正仿宋_GBK" w:hAnsi="方正仿宋_GBK" w:eastAsia="方正仿宋_GBK" w:cs="方正仿宋_GBK"/>
          <w:b/>
          <w:bCs/>
          <w:sz w:val="32"/>
          <w:szCs w:val="32"/>
        </w:rPr>
        <w:t>青少年学生宣传</w:t>
      </w:r>
    </w:p>
    <w:p>
      <w:pPr>
        <w:keepNext w:val="0"/>
        <w:keepLines w:val="0"/>
        <w:pageBreakBefore w:val="0"/>
        <w:widowControl w:val="0"/>
        <w:kinsoku/>
        <w:wordWrap/>
        <w:overflowPunct/>
        <w:topLinePunct w:val="0"/>
        <w:bidi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1.1宣传</w:t>
      </w:r>
      <w:r>
        <w:rPr>
          <w:rFonts w:ascii="Times New Roman" w:hAnsi="Times New Roman" w:eastAsia="方正仿宋_GBK" w:cs="Times New Roman"/>
          <w:b/>
          <w:bCs/>
          <w:sz w:val="32"/>
          <w:szCs w:val="32"/>
        </w:rPr>
        <w:t>活动内容</w:t>
      </w:r>
      <w:r>
        <w:rPr>
          <w:rFonts w:ascii="Times New Roman" w:hAnsi="Times New Roman" w:eastAsia="方正仿宋_GBK" w:cs="Times New Roman"/>
          <w:b/>
          <w:bCs/>
          <w:sz w:val="32"/>
          <w:szCs w:val="32"/>
          <w:lang w:eastAsia="zh-CN"/>
        </w:rPr>
        <w:t>。</w:t>
      </w:r>
      <w:r>
        <w:rPr>
          <w:rFonts w:ascii="Times New Roman" w:hAnsi="Times New Roman" w:eastAsia="方正仿宋_GBK" w:cs="Times New Roman"/>
          <w:sz w:val="32"/>
          <w:szCs w:val="32"/>
        </w:rPr>
        <w:t>包括艾滋病、性病防治知识，艾滋病防治政策、策略和措施。重点强调艾滋病的危害和预防、治疗知识。倡导安全性行为方式，强调性行为前主动进行艾滋病和梅毒等性传播疾病筛查，推广使用安全套。</w:t>
      </w:r>
    </w:p>
    <w:p>
      <w:pPr>
        <w:keepNext w:val="0"/>
        <w:keepLines w:val="0"/>
        <w:pageBreakBefore w:val="0"/>
        <w:widowControl w:val="0"/>
        <w:kinsoku/>
        <w:wordWrap/>
        <w:overflowPunct/>
        <w:topLinePunct w:val="0"/>
        <w:bidi w:val="0"/>
        <w:spacing w:line="580" w:lineRule="exact"/>
        <w:ind w:firstLine="643" w:firstLineChars="200"/>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1.2考核办法。</w:t>
      </w:r>
      <w:r>
        <w:rPr>
          <w:rFonts w:ascii="Times New Roman" w:hAnsi="Times New Roman" w:eastAsia="方正仿宋_GBK" w:cs="Times New Roman"/>
          <w:color w:val="000000"/>
          <w:sz w:val="32"/>
          <w:szCs w:val="32"/>
        </w:rPr>
        <w:t>宣传服务对象在项目周期</w:t>
      </w:r>
      <w:r>
        <w:rPr>
          <w:rFonts w:ascii="Times New Roman" w:hAnsi="Times New Roman" w:eastAsia="方正仿宋_GBK" w:cs="Times New Roman"/>
          <w:color w:val="000000"/>
          <w:sz w:val="32"/>
          <w:szCs w:val="32"/>
          <w:lang w:val="en-US" w:eastAsia="zh-CN"/>
        </w:rPr>
        <w:t>内</w:t>
      </w:r>
      <w:r>
        <w:rPr>
          <w:rFonts w:ascii="Times New Roman" w:hAnsi="Times New Roman" w:eastAsia="方正仿宋_GBK" w:cs="Times New Roman"/>
          <w:color w:val="000000"/>
          <w:sz w:val="32"/>
          <w:szCs w:val="32"/>
        </w:rPr>
        <w:t>至少接受过</w:t>
      </w:r>
      <w:r>
        <w:rPr>
          <w:rFonts w:ascii="Times New Roman" w:hAnsi="Times New Roman" w:eastAsia="方正仿宋_GBK" w:cs="Times New Roman"/>
          <w:color w:val="000000"/>
          <w:sz w:val="32"/>
          <w:szCs w:val="32"/>
          <w:lang w:val="en-US" w:eastAsia="zh-CN"/>
        </w:rPr>
        <w:t>2</w:t>
      </w:r>
      <w:r>
        <w:rPr>
          <w:rFonts w:ascii="Times New Roman" w:hAnsi="Times New Roman" w:eastAsia="方正仿宋_GBK" w:cs="Times New Roman"/>
          <w:color w:val="000000"/>
          <w:sz w:val="32"/>
          <w:szCs w:val="32"/>
        </w:rPr>
        <w:t>次健康教育、安全套推广和咨询检测促进等服务，记为1人</w:t>
      </w:r>
      <w:r>
        <w:rPr>
          <w:rFonts w:hint="eastAsia" w:ascii="Times New Roman" w:hAnsi="Times New Roman" w:eastAsia="方正仿宋_GBK" w:cs="Times New Roman"/>
          <w:color w:val="000000"/>
          <w:sz w:val="32"/>
          <w:szCs w:val="32"/>
          <w:lang w:eastAsia="zh-CN"/>
        </w:rPr>
        <w:t>。</w:t>
      </w:r>
      <w:r>
        <w:rPr>
          <w:rFonts w:ascii="Times New Roman" w:hAnsi="Times New Roman" w:eastAsia="方正仿宋_GBK" w:cs="Times New Roman"/>
          <w:sz w:val="32"/>
          <w:szCs w:val="32"/>
        </w:rPr>
        <w:t>建立学校或院系志愿者骨干团队，每个学校不低于1</w:t>
      </w:r>
      <w:r>
        <w:rPr>
          <w:rFonts w:ascii="Times New Roman" w:hAnsi="Times New Roman" w:eastAsia="方正仿宋_GBK" w:cs="Times New Roman"/>
          <w:sz w:val="32"/>
          <w:szCs w:val="32"/>
          <w:lang w:val="en-US" w:eastAsia="zh-CN"/>
        </w:rPr>
        <w:t>0</w:t>
      </w:r>
      <w:r>
        <w:rPr>
          <w:rFonts w:ascii="Times New Roman" w:hAnsi="Times New Roman" w:eastAsia="方正仿宋_GBK" w:cs="Times New Roman"/>
          <w:sz w:val="32"/>
          <w:szCs w:val="32"/>
        </w:rPr>
        <w:t>人。覆盖全校或院系范围内的宣传活动不得少于2次，参与人数不得低于全校或院系总人数的2/3。内容必须涉及促进安全套推广和促进咨询检测</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lang w:val="en-US" w:eastAsia="zh-CN"/>
        </w:rPr>
        <w:t>暴露前后预防转介等</w:t>
      </w:r>
      <w:r>
        <w:rPr>
          <w:rFonts w:ascii="Times New Roman" w:hAnsi="Times New Roman" w:eastAsia="方正仿宋_GBK" w:cs="Times New Roman"/>
          <w:sz w:val="32"/>
          <w:szCs w:val="32"/>
        </w:rPr>
        <w:t>。项目结束时，学生艾滋病相关知识</w:t>
      </w:r>
      <w:r>
        <w:rPr>
          <w:rFonts w:ascii="Times New Roman" w:hAnsi="Times New Roman" w:eastAsia="方正仿宋_GBK" w:cs="Times New Roman"/>
          <w:sz w:val="32"/>
          <w:szCs w:val="32"/>
          <w:lang w:val="en-US" w:eastAsia="zh-CN"/>
        </w:rPr>
        <w:t>知晓率</w:t>
      </w:r>
      <w:r>
        <w:rPr>
          <w:rFonts w:ascii="Times New Roman" w:hAnsi="Times New Roman" w:eastAsia="方正仿宋_GBK" w:cs="Times New Roman"/>
          <w:sz w:val="32"/>
          <w:szCs w:val="32"/>
        </w:rPr>
        <w:t>达到95%</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其中调查学生人数不得低于</w:t>
      </w:r>
      <w:r>
        <w:rPr>
          <w:rFonts w:ascii="Times New Roman" w:hAnsi="Times New Roman" w:eastAsia="方正仿宋_GBK" w:cs="Times New Roman"/>
          <w:sz w:val="32"/>
          <w:szCs w:val="32"/>
          <w:lang w:val="en-US" w:eastAsia="zh-CN"/>
        </w:rPr>
        <w:t>4</w:t>
      </w:r>
      <w:r>
        <w:rPr>
          <w:rFonts w:ascii="Times New Roman" w:hAnsi="Times New Roman" w:eastAsia="方正仿宋_GBK" w:cs="Times New Roman"/>
          <w:sz w:val="32"/>
          <w:szCs w:val="32"/>
        </w:rPr>
        <w:t>00</w:t>
      </w:r>
      <w:r>
        <w:rPr>
          <w:rFonts w:ascii="Times New Roman" w:hAnsi="Times New Roman" w:eastAsia="方正仿宋_GBK" w:cs="Times New Roman"/>
          <w:sz w:val="32"/>
          <w:szCs w:val="32"/>
          <w:lang w:val="en-US" w:eastAsia="zh-CN"/>
        </w:rPr>
        <w:t>人</w:t>
      </w:r>
      <w:r>
        <w:rPr>
          <w:rFonts w:ascii="Times New Roman" w:hAnsi="Times New Roman" w:eastAsia="方正仿宋_GBK" w:cs="Times New Roman"/>
          <w:sz w:val="32"/>
          <w:szCs w:val="32"/>
        </w:rPr>
        <w:t>。学校或院系的官方媒体（网站、论坛、微信、微博公众号等）开展艾滋病相关推文不少于</w:t>
      </w:r>
      <w:r>
        <w:rPr>
          <w:rFonts w:ascii="Times New Roman" w:hAnsi="Times New Roman" w:eastAsia="方正仿宋_GBK" w:cs="Times New Roman"/>
          <w:sz w:val="32"/>
          <w:szCs w:val="32"/>
          <w:lang w:val="en-US" w:eastAsia="zh-CN"/>
        </w:rPr>
        <w:t>3</w:t>
      </w:r>
      <w:r>
        <w:rPr>
          <w:rFonts w:ascii="Times New Roman" w:hAnsi="Times New Roman" w:eastAsia="方正仿宋_GBK" w:cs="Times New Roman"/>
          <w:sz w:val="32"/>
          <w:szCs w:val="32"/>
        </w:rPr>
        <w:t>篇，累计阅读量不低于全校或院系学生总人数</w:t>
      </w:r>
      <w:r>
        <w:rPr>
          <w:rFonts w:ascii="Times New Roman" w:hAnsi="Times New Roman" w:eastAsia="方正仿宋_GBK" w:cs="Times New Roman"/>
          <w:sz w:val="32"/>
          <w:szCs w:val="32"/>
          <w:lang w:val="en-US" w:eastAsia="zh-CN"/>
        </w:rPr>
        <w:t>2/3</w:t>
      </w:r>
      <w:r>
        <w:rPr>
          <w:rFonts w:ascii="Times New Roman" w:hAnsi="Times New Roman" w:eastAsia="方正仿宋_GBK" w:cs="Times New Roman"/>
          <w:sz w:val="32"/>
          <w:szCs w:val="32"/>
        </w:rPr>
        <w:t>。</w:t>
      </w:r>
    </w:p>
    <w:p>
      <w:pPr>
        <w:keepNext w:val="0"/>
        <w:keepLines w:val="0"/>
        <w:pageBreakBefore w:val="0"/>
        <w:widowControl w:val="0"/>
        <w:kinsoku/>
        <w:wordWrap/>
        <w:overflowPunct/>
        <w:topLinePunct w:val="0"/>
        <w:bidi w:val="0"/>
        <w:spacing w:line="580" w:lineRule="exact"/>
        <w:ind w:firstLine="643" w:firstLineChars="200"/>
        <w:rPr>
          <w:rFonts w:hint="eastAsia" w:ascii="方正楷体_GBK" w:hAnsi="方正楷体_GBK" w:eastAsia="方正楷体_GBK" w:cs="方正楷体_GBK"/>
          <w:b/>
          <w:bCs/>
          <w:kern w:val="2"/>
          <w:sz w:val="32"/>
          <w:szCs w:val="24"/>
          <w:lang w:val="en-US" w:eastAsia="zh-CN" w:bidi="ar-SA"/>
        </w:rPr>
      </w:pPr>
      <w:r>
        <w:rPr>
          <w:rFonts w:hint="eastAsia" w:ascii="方正楷体_GBK" w:hAnsi="方正楷体_GBK" w:eastAsia="方正楷体_GBK" w:cs="方正楷体_GBK"/>
          <w:b/>
          <w:bCs/>
          <w:kern w:val="2"/>
          <w:sz w:val="32"/>
          <w:szCs w:val="24"/>
          <w:lang w:val="en-US" w:eastAsia="zh-CN" w:bidi="ar-SA"/>
        </w:rPr>
        <w:t>（二）高危重点人群干预</w:t>
      </w:r>
    </w:p>
    <w:p>
      <w:pPr>
        <w:keepNext w:val="0"/>
        <w:keepLines w:val="0"/>
        <w:pageBreakBefore w:val="0"/>
        <w:widowControl w:val="0"/>
        <w:kinsoku/>
        <w:wordWrap/>
        <w:overflowPunct/>
        <w:topLinePunct w:val="0"/>
        <w:bidi w:val="0"/>
        <w:spacing w:line="580" w:lineRule="exact"/>
        <w:ind w:firstLine="707" w:firstLineChars="221"/>
        <w:rPr>
          <w:rFonts w:hint="eastAsia" w:ascii="方正楷体_GBK" w:hAnsi="方正楷体_GBK" w:eastAsia="方正楷体_GBK" w:cs="方正楷体_GBK"/>
          <w:b/>
          <w:bCs/>
          <w:sz w:val="32"/>
          <w:szCs w:val="32"/>
          <w:lang w:eastAsia="zh-CN"/>
        </w:rPr>
      </w:pPr>
      <w:r>
        <w:rPr>
          <w:rFonts w:hint="eastAsia" w:ascii="Times New Roman" w:hAnsi="Times New Roman" w:eastAsia="方正仿宋_GBK"/>
          <w:sz w:val="32"/>
          <w:lang w:val="en-US" w:eastAsia="zh-CN"/>
        </w:rPr>
        <w:t>1.</w:t>
      </w:r>
      <w:r>
        <w:rPr>
          <w:rFonts w:ascii="方正楷体_GBK" w:hAnsi="方正楷体_GBK" w:eastAsia="方正楷体_GBK" w:cs="方正楷体_GBK"/>
          <w:b/>
          <w:bCs/>
          <w:sz w:val="32"/>
          <w:szCs w:val="32"/>
        </w:rPr>
        <w:t>活动内容</w:t>
      </w:r>
      <w:r>
        <w:rPr>
          <w:rFonts w:hint="eastAsia" w:ascii="方正楷体_GBK" w:hAnsi="方正楷体_GBK" w:eastAsia="方正楷体_GBK" w:cs="方正楷体_GBK"/>
          <w:b/>
          <w:bCs/>
          <w:sz w:val="32"/>
          <w:szCs w:val="32"/>
          <w:lang w:eastAsia="zh-CN"/>
        </w:rPr>
        <w:t>。</w:t>
      </w:r>
    </w:p>
    <w:p>
      <w:pPr>
        <w:keepNext w:val="0"/>
        <w:keepLines w:val="0"/>
        <w:pageBreakBefore w:val="0"/>
        <w:widowControl w:val="0"/>
        <w:kinsoku/>
        <w:wordWrap/>
        <w:overflowPunct/>
        <w:topLinePunct w:val="0"/>
        <w:bidi w:val="0"/>
        <w:spacing w:line="580" w:lineRule="exact"/>
        <w:ind w:firstLine="710" w:firstLineChars="221"/>
        <w:rPr>
          <w:rFonts w:ascii="Times New Roman" w:hAnsi="Times New Roman" w:eastAsia="方正仿宋_GBK" w:cs="Times New Roman"/>
          <w:sz w:val="32"/>
          <w:szCs w:val="32"/>
        </w:rPr>
      </w:pPr>
      <w:r>
        <w:rPr>
          <w:rFonts w:hint="eastAsia" w:ascii="方正楷体_GBK" w:hAnsi="方正楷体_GBK" w:eastAsia="方正楷体_GBK" w:cs="方正楷体_GBK"/>
          <w:b/>
          <w:bCs/>
          <w:sz w:val="32"/>
          <w:szCs w:val="32"/>
          <w:lang w:val="en-US" w:eastAsia="zh-CN"/>
        </w:rPr>
        <w:t>1.1宣传活动：</w:t>
      </w:r>
      <w:r>
        <w:rPr>
          <w:rFonts w:hint="eastAsia" w:ascii="Times New Roman" w:hAnsi="Times New Roman" w:eastAsia="方正仿宋_GBK" w:cs="Times New Roman"/>
          <w:sz w:val="32"/>
          <w:szCs w:val="32"/>
          <w:lang w:val="en-US" w:eastAsia="zh-CN"/>
        </w:rPr>
        <w:t>宣传</w:t>
      </w:r>
      <w:r>
        <w:rPr>
          <w:rFonts w:ascii="Times New Roman" w:hAnsi="Times New Roman" w:eastAsia="方正仿宋_GBK" w:cs="Times New Roman"/>
          <w:sz w:val="32"/>
          <w:szCs w:val="32"/>
        </w:rPr>
        <w:t>包括艾滋病、性病、丙肝防治知识，当地艾滋病疫情，艾滋病防治政策、策略和措施</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重点强调艾滋病的危害和预防。推广使用安全套，提倡性行为前主动了解性伴的艾滋病病毒感染状态，提供方便可及的规范化性病诊疗服务信息和转介服务。</w:t>
      </w:r>
    </w:p>
    <w:p>
      <w:pPr>
        <w:keepNext w:val="0"/>
        <w:keepLines w:val="0"/>
        <w:pageBreakBefore w:val="0"/>
        <w:widowControl w:val="0"/>
        <w:kinsoku/>
        <w:wordWrap/>
        <w:overflowPunct/>
        <w:topLinePunct w:val="0"/>
        <w:bidi w:val="0"/>
        <w:spacing w:line="580" w:lineRule="exact"/>
        <w:ind w:firstLine="710" w:firstLineChars="221"/>
        <w:rPr>
          <w:rFonts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1.2咨询检测信息和检测转介服务。</w:t>
      </w:r>
      <w:r>
        <w:rPr>
          <w:rFonts w:ascii="Times New Roman" w:hAnsi="Times New Roman" w:eastAsia="方正仿宋_GBK" w:cs="Times New Roman"/>
          <w:sz w:val="32"/>
          <w:szCs w:val="32"/>
        </w:rPr>
        <w:t>提供艾滋病咨询检测信息和检测转介服务。有条件的社会组织可协助当地疾病预防控制机构开展快速检测服务，并提供结果告知咨询和确证阳性转介。</w:t>
      </w:r>
    </w:p>
    <w:p>
      <w:pPr>
        <w:keepNext w:val="0"/>
        <w:keepLines w:val="0"/>
        <w:pageBreakBefore w:val="0"/>
        <w:widowControl w:val="0"/>
        <w:kinsoku/>
        <w:wordWrap/>
        <w:overflowPunct/>
        <w:topLinePunct w:val="0"/>
        <w:autoSpaceDE/>
        <w:autoSpaceDN/>
        <w:bidi w:val="0"/>
        <w:adjustRightInd/>
        <w:snapToGrid/>
        <w:spacing w:line="578" w:lineRule="exact"/>
        <w:ind w:firstLine="710" w:firstLineChars="221"/>
        <w:textAlignment w:val="auto"/>
        <w:rPr>
          <w:rFonts w:ascii="Times New Roman" w:hAnsi="Times New Roman" w:eastAsia="方正仿宋_GBK" w:cs="Times New Roman"/>
          <w:sz w:val="32"/>
          <w:szCs w:val="32"/>
        </w:rPr>
      </w:pPr>
      <w:r>
        <w:rPr>
          <w:rFonts w:hint="eastAsia" w:ascii="方正楷体_GBK" w:hAnsi="方正楷体_GBK" w:eastAsia="方正楷体_GBK" w:cs="方正楷体_GBK"/>
          <w:b/>
          <w:bCs/>
          <w:kern w:val="2"/>
          <w:sz w:val="32"/>
          <w:szCs w:val="32"/>
          <w:lang w:val="en-US" w:eastAsia="zh-CN" w:bidi="ar-SA"/>
        </w:rPr>
        <w:t>2.考核办法。</w:t>
      </w:r>
      <w:r>
        <w:rPr>
          <w:rFonts w:ascii="Times New Roman" w:hAnsi="Times New Roman" w:eastAsia="方正仿宋_GBK" w:cs="Times New Roman"/>
          <w:sz w:val="32"/>
          <w:szCs w:val="32"/>
        </w:rPr>
        <w:t>干预服务对象每</w:t>
      </w:r>
      <w:r>
        <w:rPr>
          <w:rFonts w:ascii="Times New Roman" w:hAnsi="Times New Roman" w:eastAsia="方正仿宋_GBK" w:cs="Times New Roman"/>
          <w:sz w:val="32"/>
          <w:szCs w:val="32"/>
          <w:lang w:val="en-US" w:eastAsia="zh-CN"/>
        </w:rPr>
        <w:t>双月</w:t>
      </w:r>
      <w:r>
        <w:rPr>
          <w:rFonts w:ascii="Times New Roman" w:hAnsi="Times New Roman" w:eastAsia="方正仿宋_GBK" w:cs="Times New Roman"/>
          <w:sz w:val="32"/>
          <w:szCs w:val="32"/>
        </w:rPr>
        <w:t>至少接受过</w:t>
      </w:r>
      <w:r>
        <w:rPr>
          <w:rFonts w:ascii="Times New Roman" w:hAnsi="Times New Roman" w:eastAsia="方正仿宋_GBK" w:cs="Times New Roman"/>
          <w:sz w:val="32"/>
          <w:szCs w:val="32"/>
          <w:lang w:val="en-US" w:eastAsia="zh-CN"/>
        </w:rPr>
        <w:t>1</w:t>
      </w:r>
      <w:r>
        <w:rPr>
          <w:rFonts w:ascii="Times New Roman" w:hAnsi="Times New Roman" w:eastAsia="方正仿宋_GBK" w:cs="Times New Roman"/>
          <w:sz w:val="32"/>
          <w:szCs w:val="32"/>
        </w:rPr>
        <w:t>次健康教育、安全套和润滑剂发放、性病诊疗等服务</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lang w:val="en-US" w:eastAsia="zh-CN"/>
        </w:rPr>
        <w:t>项目期内覆盖3次</w:t>
      </w:r>
      <w:r>
        <w:rPr>
          <w:rFonts w:ascii="Times New Roman" w:hAnsi="Times New Roman" w:eastAsia="方正仿宋_GBK" w:cs="Times New Roman"/>
          <w:sz w:val="32"/>
          <w:szCs w:val="32"/>
        </w:rPr>
        <w:t>，并至少接受过</w:t>
      </w:r>
      <w:r>
        <w:rPr>
          <w:rFonts w:ascii="Times New Roman" w:hAnsi="Times New Roman" w:eastAsia="方正仿宋_GBK" w:cs="Times New Roman"/>
          <w:sz w:val="32"/>
          <w:szCs w:val="32"/>
          <w:lang w:val="en-US" w:eastAsia="zh-CN"/>
        </w:rPr>
        <w:t>1</w:t>
      </w:r>
      <w:r>
        <w:rPr>
          <w:rFonts w:ascii="Times New Roman" w:hAnsi="Times New Roman" w:eastAsia="方正仿宋_GBK" w:cs="Times New Roman"/>
          <w:sz w:val="32"/>
          <w:szCs w:val="32"/>
        </w:rPr>
        <w:t>次艾滋病检测和规范的检测前后咨询，记为1人。</w:t>
      </w:r>
      <w:r>
        <w:rPr>
          <w:rFonts w:ascii="Times New Roman" w:hAnsi="Times New Roman" w:eastAsia="方正仿宋_GBK" w:cs="Times New Roman"/>
          <w:color w:val="000000"/>
          <w:sz w:val="32"/>
          <w:szCs w:val="32"/>
        </w:rPr>
        <w:t>艾滋病相关知识知晓率达到90%以上</w:t>
      </w:r>
      <w:r>
        <w:rPr>
          <w:rFonts w:ascii="Times New Roman" w:hAnsi="Times New Roman" w:eastAsia="方正仿宋_GBK" w:cs="Times New Roman"/>
          <w:color w:val="000000"/>
          <w:sz w:val="32"/>
          <w:szCs w:val="32"/>
          <w:lang w:eastAsia="zh-CN"/>
        </w:rPr>
        <w:t>。</w:t>
      </w:r>
      <w:r>
        <w:rPr>
          <w:rFonts w:ascii="Times New Roman" w:hAnsi="Times New Roman" w:eastAsia="方正仿宋_GBK" w:cs="Times New Roman"/>
          <w:sz w:val="32"/>
          <w:szCs w:val="32"/>
        </w:rPr>
        <w:t>艾滋病抗体初筛阳性者中接受确证检测的比例不低于</w:t>
      </w:r>
      <w:r>
        <w:rPr>
          <w:rFonts w:ascii="Times New Roman" w:hAnsi="Times New Roman" w:eastAsia="方正仿宋_GBK" w:cs="Times New Roman"/>
          <w:sz w:val="32"/>
          <w:szCs w:val="32"/>
          <w:lang w:val="en-US" w:eastAsia="zh-CN"/>
        </w:rPr>
        <w:t>95</w:t>
      </w:r>
      <w:r>
        <w:rPr>
          <w:rFonts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after="0" w:line="578" w:lineRule="exact"/>
        <w:ind w:firstLine="640" w:firstLineChars="200"/>
        <w:jc w:val="both"/>
        <w:textAlignment w:val="auto"/>
        <w:rPr>
          <w:rFonts w:hint="eastAsia" w:ascii="方正黑体简体" w:hAnsi="方正黑体简体" w:eastAsia="方正黑体简体" w:cs="方正黑体简体"/>
          <w:kern w:val="2"/>
          <w:sz w:val="32"/>
          <w:szCs w:val="32"/>
          <w:lang w:val="en-US" w:eastAsia="zh-CN" w:bidi="ar-SA"/>
        </w:rPr>
      </w:pPr>
      <w:r>
        <w:rPr>
          <w:rFonts w:hint="eastAsia" w:ascii="方正黑体简体" w:hAnsi="方正黑体简体" w:eastAsia="方正黑体简体" w:cs="方正黑体简体"/>
          <w:kern w:val="2"/>
          <w:sz w:val="32"/>
          <w:szCs w:val="32"/>
          <w:lang w:val="en-US" w:eastAsia="zh-CN" w:bidi="ar-SA"/>
        </w:rPr>
        <w:t>五、经费支出类别和标准</w:t>
      </w:r>
    </w:p>
    <w:p>
      <w:pPr>
        <w:keepNext w:val="0"/>
        <w:keepLines w:val="0"/>
        <w:pageBreakBefore w:val="0"/>
        <w:widowControl w:val="0"/>
        <w:tabs>
          <w:tab w:val="left" w:pos="426"/>
          <w:tab w:val="left" w:pos="540"/>
        </w:tabs>
        <w:kinsoku/>
        <w:wordWrap/>
        <w:overflowPunct/>
        <w:topLinePunct w:val="0"/>
        <w:autoSpaceDE/>
        <w:autoSpaceDN/>
        <w:bidi w:val="0"/>
        <w:adjustRightInd/>
        <w:snapToGrid/>
        <w:spacing w:line="578" w:lineRule="exact"/>
        <w:ind w:firstLine="643" w:firstLineChars="200"/>
        <w:jc w:val="both"/>
        <w:textAlignment w:val="auto"/>
        <w:rPr>
          <w:rFonts w:hint="eastAsia" w:ascii="方正楷体_GBK" w:hAnsi="方正楷体_GBK" w:eastAsia="方正楷体_GBK" w:cs="方正楷体_GBK"/>
          <w:b/>
          <w:bCs/>
          <w:sz w:val="32"/>
          <w:szCs w:val="32"/>
          <w:lang w:val="en-US" w:eastAsia="zh-CN" w:bidi="ar-SA"/>
        </w:rPr>
      </w:pPr>
      <w:r>
        <w:rPr>
          <w:rFonts w:hint="eastAsia" w:ascii="方正楷体_GBK" w:hAnsi="方正楷体_GBK" w:eastAsia="方正楷体_GBK" w:cs="方正楷体_GBK"/>
          <w:b/>
          <w:bCs/>
          <w:sz w:val="32"/>
          <w:szCs w:val="32"/>
          <w:lang w:val="en-US" w:eastAsia="zh-CN" w:bidi="ar-SA"/>
        </w:rPr>
        <w:t>（一）项目执行机构经费支出类别和标准</w:t>
      </w:r>
    </w:p>
    <w:tbl>
      <w:tblPr>
        <w:tblStyle w:val="4"/>
        <w:tblW w:w="0" w:type="auto"/>
        <w:tblInd w:w="-108"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948"/>
        <w:gridCol w:w="4082"/>
        <w:gridCol w:w="3510"/>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817" w:type="dxa"/>
            <w:tcBorders>
              <w:top w:val="single" w:color="auto" w:sz="8"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center"/>
              <w:rPr>
                <w:rFonts w:hint="eastAsia" w:ascii="黑体" w:hAnsi="黑体" w:eastAsia="黑体" w:cs="黑体"/>
                <w:b w:val="0"/>
                <w:bCs/>
                <w:kern w:val="0"/>
                <w:sz w:val="22"/>
                <w:szCs w:val="22"/>
              </w:rPr>
            </w:pPr>
            <w:r>
              <w:rPr>
                <w:rFonts w:hint="eastAsia" w:ascii="黑体" w:hAnsi="黑体" w:eastAsia="黑体" w:cs="黑体"/>
                <w:b w:val="0"/>
                <w:bCs/>
                <w:kern w:val="0"/>
                <w:sz w:val="22"/>
                <w:szCs w:val="22"/>
              </w:rPr>
              <w:t>序号</w:t>
            </w:r>
          </w:p>
        </w:tc>
        <w:tc>
          <w:tcPr>
            <w:tcW w:w="948"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center"/>
              <w:rPr>
                <w:rFonts w:hint="eastAsia" w:ascii="黑体" w:hAnsi="黑体" w:eastAsia="黑体" w:cs="黑体"/>
                <w:b w:val="0"/>
                <w:bCs/>
                <w:kern w:val="0"/>
                <w:sz w:val="22"/>
                <w:szCs w:val="22"/>
              </w:rPr>
            </w:pPr>
            <w:r>
              <w:rPr>
                <w:rFonts w:hint="eastAsia" w:ascii="黑体" w:hAnsi="黑体" w:eastAsia="黑体" w:cs="黑体"/>
                <w:b w:val="0"/>
                <w:bCs/>
                <w:kern w:val="0"/>
                <w:sz w:val="22"/>
                <w:szCs w:val="22"/>
              </w:rPr>
              <w:t>支出</w:t>
            </w:r>
          </w:p>
          <w:p>
            <w:pPr>
              <w:keepNext w:val="0"/>
              <w:keepLines w:val="0"/>
              <w:pageBreakBefore w:val="0"/>
              <w:widowControl w:val="0"/>
              <w:kinsoku/>
              <w:wordWrap/>
              <w:overflowPunct/>
              <w:topLinePunct w:val="0"/>
              <w:bidi w:val="0"/>
              <w:spacing w:before="0" w:after="0" w:line="300" w:lineRule="exact"/>
              <w:ind w:left="0" w:leftChars="0" w:firstLine="0" w:firstLineChars="0"/>
              <w:jc w:val="center"/>
              <w:rPr>
                <w:rFonts w:hint="eastAsia" w:ascii="黑体" w:hAnsi="黑体" w:eastAsia="黑体" w:cs="黑体"/>
                <w:b w:val="0"/>
                <w:bCs/>
                <w:kern w:val="0"/>
                <w:sz w:val="22"/>
                <w:szCs w:val="22"/>
              </w:rPr>
            </w:pPr>
            <w:r>
              <w:rPr>
                <w:rFonts w:hint="eastAsia" w:ascii="黑体" w:hAnsi="黑体" w:eastAsia="黑体" w:cs="黑体"/>
                <w:b w:val="0"/>
                <w:bCs/>
                <w:kern w:val="0"/>
                <w:sz w:val="22"/>
                <w:szCs w:val="22"/>
              </w:rPr>
              <w:t>类别</w:t>
            </w:r>
          </w:p>
        </w:tc>
        <w:tc>
          <w:tcPr>
            <w:tcW w:w="4082"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center"/>
              <w:rPr>
                <w:rFonts w:hint="eastAsia" w:ascii="黑体" w:hAnsi="黑体" w:eastAsia="黑体" w:cs="黑体"/>
                <w:b w:val="0"/>
                <w:bCs/>
                <w:kern w:val="0"/>
                <w:sz w:val="22"/>
                <w:szCs w:val="22"/>
              </w:rPr>
            </w:pPr>
            <w:r>
              <w:rPr>
                <w:rFonts w:hint="eastAsia" w:ascii="黑体" w:hAnsi="黑体" w:eastAsia="黑体" w:cs="黑体"/>
                <w:b w:val="0"/>
                <w:bCs/>
                <w:kern w:val="0"/>
                <w:sz w:val="22"/>
                <w:szCs w:val="22"/>
              </w:rPr>
              <w:t>支出标准上限</w:t>
            </w:r>
          </w:p>
        </w:tc>
        <w:tc>
          <w:tcPr>
            <w:tcW w:w="3510" w:type="dxa"/>
            <w:tcBorders>
              <w:top w:val="single" w:color="auto" w:sz="8"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center"/>
              <w:rPr>
                <w:rFonts w:hint="eastAsia" w:ascii="黑体" w:hAnsi="黑体" w:eastAsia="黑体" w:cs="黑体"/>
                <w:b w:val="0"/>
                <w:bCs/>
                <w:kern w:val="0"/>
                <w:sz w:val="22"/>
                <w:szCs w:val="22"/>
              </w:rPr>
            </w:pPr>
            <w:r>
              <w:rPr>
                <w:rFonts w:hint="eastAsia" w:ascii="黑体" w:hAnsi="黑体" w:eastAsia="黑体" w:cs="黑体"/>
                <w:b w:val="0"/>
                <w:bCs/>
                <w:kern w:val="0"/>
                <w:sz w:val="22"/>
                <w:szCs w:val="22"/>
              </w:rPr>
              <w:t>支出内容</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2837" w:hRule="atLeast"/>
        </w:trPr>
        <w:tc>
          <w:tcPr>
            <w:tcW w:w="817" w:type="dxa"/>
            <w:tcBorders>
              <w:top w:val="single" w:color="auto" w:sz="8"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1</w:t>
            </w:r>
          </w:p>
        </w:tc>
        <w:tc>
          <w:tcPr>
            <w:tcW w:w="948"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人员劳务费</w:t>
            </w:r>
          </w:p>
        </w:tc>
        <w:tc>
          <w:tcPr>
            <w:tcW w:w="4082" w:type="dxa"/>
            <w:tcBorders>
              <w:top w:val="single" w:color="auto" w:sz="8"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Times New Roman" w:hAnsi="Times New Roman" w:eastAsia="仿宋_GB2312" w:cs="Times New Roman"/>
                <w:kern w:val="0"/>
                <w:sz w:val="24"/>
                <w:szCs w:val="24"/>
              </w:rPr>
              <w:t>1.</w:t>
            </w:r>
            <w:r>
              <w:rPr>
                <w:rFonts w:hint="eastAsia" w:ascii="仿宋_GB2312" w:hAnsi="仿宋_GB2312" w:eastAsia="仿宋_GB2312" w:cs="仿宋_GB2312"/>
                <w:kern w:val="0"/>
                <w:sz w:val="24"/>
                <w:szCs w:val="24"/>
              </w:rPr>
              <w:t>工作人员、志愿者劳务费不超过</w:t>
            </w:r>
            <w:r>
              <w:rPr>
                <w:rFonts w:ascii="Times New Roman" w:hAnsi="Times New Roman" w:eastAsia="仿宋_GB2312" w:cs="Times New Roman"/>
                <w:kern w:val="0"/>
                <w:sz w:val="24"/>
                <w:szCs w:val="24"/>
              </w:rPr>
              <w:t>100</w:t>
            </w:r>
            <w:r>
              <w:rPr>
                <w:rFonts w:hint="eastAsia" w:ascii="仿宋_GB2312" w:hAnsi="仿宋_GB2312" w:eastAsia="仿宋_GB2312" w:cs="仿宋_GB2312"/>
                <w:kern w:val="0"/>
                <w:sz w:val="24"/>
                <w:szCs w:val="24"/>
              </w:rPr>
              <w:t>元/人/天，不超</w:t>
            </w:r>
            <w:r>
              <w:rPr>
                <w:rFonts w:hint="eastAsia" w:ascii="Times New Roman" w:hAnsi="Times New Roman" w:eastAsia="仿宋_GB2312" w:cs="Times New Roman"/>
                <w:kern w:val="0"/>
                <w:sz w:val="24"/>
                <w:szCs w:val="24"/>
              </w:rPr>
              <w:t>1000</w:t>
            </w:r>
            <w:r>
              <w:rPr>
                <w:rFonts w:hint="eastAsia" w:ascii="仿宋_GB2312" w:hAnsi="仿宋_GB2312" w:eastAsia="仿宋_GB2312" w:cs="仿宋_GB2312"/>
                <w:kern w:val="0"/>
                <w:sz w:val="24"/>
                <w:szCs w:val="24"/>
              </w:rPr>
              <w:t>元/人/月；</w:t>
            </w:r>
          </w:p>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Times New Roman" w:hAnsi="Times New Roman" w:eastAsia="仿宋_GB2312" w:cs="Times New Roman"/>
                <w:kern w:val="0"/>
                <w:sz w:val="24"/>
                <w:szCs w:val="24"/>
              </w:rPr>
              <w:t>2.</w:t>
            </w:r>
            <w:r>
              <w:rPr>
                <w:rFonts w:hint="eastAsia" w:ascii="仿宋_GB2312" w:hAnsi="仿宋_GB2312" w:eastAsia="仿宋_GB2312" w:cs="仿宋_GB2312"/>
                <w:kern w:val="0"/>
                <w:sz w:val="24"/>
                <w:szCs w:val="24"/>
              </w:rPr>
              <w:t>专家咨询费：按当地财政标准</w:t>
            </w:r>
            <w:r>
              <w:rPr>
                <w:rFonts w:hint="eastAsia" w:ascii="仿宋_GB2312" w:hAnsi="仿宋_GB2312" w:eastAsia="仿宋_GB2312" w:cs="仿宋_GB2312"/>
                <w:kern w:val="0"/>
                <w:sz w:val="24"/>
                <w:szCs w:val="24"/>
                <w:lang w:eastAsia="zh-CN"/>
              </w:rPr>
              <w:t>执行，</w:t>
            </w:r>
            <w:r>
              <w:rPr>
                <w:rFonts w:hint="eastAsia" w:ascii="仿宋_GB2312" w:hAnsi="仿宋_GB2312" w:eastAsia="仿宋_GB2312" w:cs="仿宋_GB2312"/>
                <w:kern w:val="0"/>
                <w:sz w:val="24"/>
                <w:szCs w:val="24"/>
              </w:rPr>
              <w:t>原则上高级职称不超过</w:t>
            </w:r>
            <w:r>
              <w:rPr>
                <w:rFonts w:hint="eastAsia" w:ascii="Times New Roman" w:hAnsi="Times New Roman" w:eastAsia="仿宋_GB2312" w:cs="Times New Roman"/>
                <w:kern w:val="0"/>
                <w:sz w:val="24"/>
                <w:szCs w:val="24"/>
              </w:rPr>
              <w:t>500</w:t>
            </w:r>
            <w:r>
              <w:rPr>
                <w:rFonts w:hint="eastAsia" w:ascii="仿宋_GB2312" w:hAnsi="仿宋_GB2312" w:eastAsia="仿宋_GB2312" w:cs="仿宋_GB2312"/>
                <w:kern w:val="0"/>
                <w:sz w:val="24"/>
                <w:szCs w:val="24"/>
              </w:rPr>
              <w:t>元/人/天；其</w:t>
            </w:r>
            <w:r>
              <w:rPr>
                <w:rFonts w:hint="eastAsia" w:ascii="仿宋_GB2312" w:hAnsi="仿宋_GB2312" w:eastAsia="仿宋_GB2312" w:cs="仿宋_GB2312"/>
                <w:kern w:val="0"/>
                <w:sz w:val="24"/>
                <w:szCs w:val="24"/>
                <w:lang w:eastAsia="zh-CN"/>
              </w:rPr>
              <w:t>余</w:t>
            </w:r>
            <w:r>
              <w:rPr>
                <w:rFonts w:hint="eastAsia" w:ascii="仿宋_GB2312" w:hAnsi="仿宋_GB2312" w:eastAsia="仿宋_GB2312" w:cs="仿宋_GB2312"/>
                <w:kern w:val="0"/>
                <w:sz w:val="24"/>
                <w:szCs w:val="24"/>
              </w:rPr>
              <w:t>职称不超过</w:t>
            </w:r>
            <w:r>
              <w:rPr>
                <w:rFonts w:hint="eastAsia" w:ascii="Times New Roman" w:hAnsi="Times New Roman" w:eastAsia="仿宋_GB2312" w:cs="Times New Roman"/>
                <w:kern w:val="0"/>
                <w:sz w:val="24"/>
                <w:szCs w:val="24"/>
              </w:rPr>
              <w:t>300</w:t>
            </w:r>
            <w:r>
              <w:rPr>
                <w:rFonts w:hint="eastAsia" w:ascii="仿宋_GB2312" w:hAnsi="仿宋_GB2312" w:eastAsia="仿宋_GB2312" w:cs="仿宋_GB2312"/>
                <w:kern w:val="0"/>
                <w:sz w:val="24"/>
                <w:szCs w:val="24"/>
              </w:rPr>
              <w:t>元/人/天。</w:t>
            </w:r>
          </w:p>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Times New Roman" w:hAnsi="Times New Roman" w:eastAsia="仿宋_GB2312" w:cs="Times New Roman"/>
                <w:kern w:val="0"/>
                <w:sz w:val="24"/>
                <w:szCs w:val="24"/>
              </w:rPr>
              <w:t>3.</w:t>
            </w:r>
            <w:r>
              <w:rPr>
                <w:rFonts w:hint="eastAsia" w:ascii="仿宋_GB2312" w:hAnsi="仿宋_GB2312" w:eastAsia="仿宋_GB2312" w:cs="仿宋_GB2312"/>
                <w:kern w:val="0"/>
                <w:sz w:val="24"/>
                <w:szCs w:val="24"/>
              </w:rPr>
              <w:t>专家讲课费:按当地财政标准</w:t>
            </w:r>
            <w:r>
              <w:rPr>
                <w:rFonts w:hint="eastAsia" w:ascii="仿宋_GB2312" w:hAnsi="仿宋_GB2312" w:eastAsia="仿宋_GB2312" w:cs="仿宋_GB2312"/>
                <w:kern w:val="0"/>
                <w:sz w:val="24"/>
                <w:szCs w:val="24"/>
                <w:lang w:eastAsia="zh-CN"/>
              </w:rPr>
              <w:t>执行，</w:t>
            </w:r>
            <w:r>
              <w:rPr>
                <w:rFonts w:hint="eastAsia" w:ascii="仿宋_GB2312" w:hAnsi="仿宋_GB2312" w:eastAsia="仿宋_GB2312" w:cs="仿宋_GB2312"/>
                <w:kern w:val="0"/>
                <w:sz w:val="24"/>
                <w:szCs w:val="24"/>
              </w:rPr>
              <w:t>原则上正高职称不超过</w:t>
            </w:r>
            <w:r>
              <w:rPr>
                <w:rFonts w:hint="eastAsia" w:ascii="Times New Roman" w:hAnsi="Times New Roman" w:eastAsia="仿宋_GB2312" w:cs="Times New Roman"/>
                <w:kern w:val="0"/>
                <w:sz w:val="24"/>
                <w:szCs w:val="24"/>
              </w:rPr>
              <w:t>500</w:t>
            </w:r>
            <w:r>
              <w:rPr>
                <w:rFonts w:hint="eastAsia" w:ascii="仿宋_GB2312" w:hAnsi="仿宋_GB2312" w:eastAsia="仿宋_GB2312" w:cs="仿宋_GB2312"/>
                <w:kern w:val="0"/>
                <w:sz w:val="24"/>
                <w:szCs w:val="24"/>
              </w:rPr>
              <w:t>元/人/</w:t>
            </w:r>
            <w:r>
              <w:rPr>
                <w:rFonts w:hint="eastAsia" w:ascii="仿宋_GB2312" w:hAnsi="仿宋_GB2312" w:eastAsia="仿宋_GB2312" w:cs="仿宋_GB2312"/>
                <w:color w:val="000000"/>
                <w:kern w:val="0"/>
                <w:sz w:val="24"/>
                <w:szCs w:val="24"/>
                <w:lang w:val="en-US" w:eastAsia="zh-CN"/>
              </w:rPr>
              <w:t>学</w:t>
            </w:r>
            <w:r>
              <w:rPr>
                <w:rFonts w:hint="eastAsia" w:ascii="仿宋_GB2312" w:hAnsi="仿宋_GB2312" w:eastAsia="仿宋_GB2312" w:cs="仿宋_GB2312"/>
                <w:color w:val="000000"/>
                <w:kern w:val="0"/>
                <w:sz w:val="24"/>
                <w:szCs w:val="24"/>
              </w:rPr>
              <w:t>时，副高职称不超过</w:t>
            </w:r>
            <w:r>
              <w:rPr>
                <w:rFonts w:hint="eastAsia" w:ascii="Times New Roman" w:hAnsi="Times New Roman" w:eastAsia="仿宋_GB2312" w:cs="Times New Roman"/>
                <w:kern w:val="0"/>
                <w:sz w:val="24"/>
                <w:szCs w:val="24"/>
                <w:lang w:val="en-US" w:eastAsia="zh-CN"/>
              </w:rPr>
              <w:t>400</w:t>
            </w:r>
            <w:r>
              <w:rPr>
                <w:rFonts w:hint="eastAsia" w:ascii="仿宋_GB2312" w:hAnsi="仿宋_GB2312" w:eastAsia="仿宋_GB2312" w:cs="仿宋_GB2312"/>
                <w:color w:val="000000"/>
                <w:kern w:val="0"/>
                <w:sz w:val="24"/>
                <w:szCs w:val="24"/>
              </w:rPr>
              <w:t>元/人/</w:t>
            </w:r>
            <w:r>
              <w:rPr>
                <w:rFonts w:hint="eastAsia" w:ascii="仿宋_GB2312" w:hAnsi="仿宋_GB2312" w:eastAsia="仿宋_GB2312" w:cs="仿宋_GB2312"/>
                <w:color w:val="000000"/>
                <w:kern w:val="0"/>
                <w:sz w:val="24"/>
                <w:szCs w:val="24"/>
                <w:lang w:val="en-US" w:eastAsia="zh-CN"/>
              </w:rPr>
              <w:t>学</w:t>
            </w:r>
            <w:r>
              <w:rPr>
                <w:rFonts w:hint="eastAsia" w:ascii="仿宋_GB2312" w:hAnsi="仿宋_GB2312" w:eastAsia="仿宋_GB2312" w:cs="仿宋_GB2312"/>
                <w:color w:val="000000"/>
                <w:kern w:val="0"/>
                <w:sz w:val="24"/>
                <w:szCs w:val="24"/>
              </w:rPr>
              <w:t>时；其</w:t>
            </w:r>
            <w:r>
              <w:rPr>
                <w:rFonts w:hint="eastAsia" w:ascii="仿宋_GB2312" w:hAnsi="仿宋_GB2312" w:eastAsia="仿宋_GB2312" w:cs="仿宋_GB2312"/>
                <w:color w:val="000000"/>
                <w:kern w:val="0"/>
                <w:sz w:val="24"/>
                <w:szCs w:val="24"/>
                <w:lang w:eastAsia="zh-CN"/>
              </w:rPr>
              <w:t>余</w:t>
            </w:r>
            <w:r>
              <w:rPr>
                <w:rFonts w:hint="eastAsia" w:ascii="仿宋_GB2312" w:hAnsi="仿宋_GB2312" w:eastAsia="仿宋_GB2312" w:cs="仿宋_GB2312"/>
                <w:color w:val="000000"/>
                <w:kern w:val="0"/>
                <w:sz w:val="24"/>
                <w:szCs w:val="24"/>
              </w:rPr>
              <w:t>职称不超过</w:t>
            </w:r>
            <w:r>
              <w:rPr>
                <w:rFonts w:hint="eastAsia" w:ascii="Times New Roman" w:hAnsi="Times New Roman" w:eastAsia="仿宋_GB2312" w:cs="Times New Roman"/>
                <w:kern w:val="0"/>
                <w:sz w:val="24"/>
                <w:szCs w:val="24"/>
                <w:lang w:val="en-US" w:eastAsia="zh-CN"/>
              </w:rPr>
              <w:t>2</w:t>
            </w:r>
            <w:r>
              <w:rPr>
                <w:rFonts w:hint="eastAsia" w:ascii="Times New Roman" w:hAnsi="Times New Roman" w:eastAsia="仿宋_GB2312" w:cs="Times New Roman"/>
                <w:kern w:val="0"/>
                <w:sz w:val="24"/>
                <w:szCs w:val="24"/>
              </w:rPr>
              <w:t>00</w:t>
            </w:r>
            <w:r>
              <w:rPr>
                <w:rFonts w:hint="eastAsia" w:ascii="仿宋_GB2312" w:hAnsi="仿宋_GB2312" w:eastAsia="仿宋_GB2312" w:cs="仿宋_GB2312"/>
                <w:color w:val="000000"/>
                <w:kern w:val="0"/>
                <w:sz w:val="24"/>
                <w:szCs w:val="24"/>
              </w:rPr>
              <w:t>元/人/</w:t>
            </w:r>
            <w:r>
              <w:rPr>
                <w:rFonts w:hint="eastAsia" w:ascii="仿宋_GB2312" w:hAnsi="仿宋_GB2312" w:eastAsia="仿宋_GB2312" w:cs="仿宋_GB2312"/>
                <w:color w:val="000000"/>
                <w:kern w:val="0"/>
                <w:sz w:val="24"/>
                <w:szCs w:val="24"/>
                <w:lang w:val="en-US" w:eastAsia="zh-CN"/>
              </w:rPr>
              <w:t>学</w:t>
            </w:r>
            <w:r>
              <w:rPr>
                <w:rFonts w:hint="eastAsia" w:ascii="仿宋_GB2312" w:hAnsi="仿宋_GB2312" w:eastAsia="仿宋_GB2312" w:cs="仿宋_GB2312"/>
                <w:color w:val="000000"/>
                <w:kern w:val="0"/>
                <w:sz w:val="24"/>
                <w:szCs w:val="24"/>
              </w:rPr>
              <w:t>时</w:t>
            </w:r>
            <w:r>
              <w:rPr>
                <w:rFonts w:hint="eastAsia" w:ascii="仿宋_GB2312" w:hAnsi="仿宋_GB2312" w:eastAsia="仿宋_GB2312" w:cs="仿宋_GB2312"/>
                <w:kern w:val="0"/>
                <w:sz w:val="24"/>
                <w:szCs w:val="24"/>
              </w:rPr>
              <w:t>。</w:t>
            </w:r>
          </w:p>
        </w:tc>
        <w:tc>
          <w:tcPr>
            <w:tcW w:w="3510" w:type="dxa"/>
            <w:tcBorders>
              <w:top w:val="single" w:color="auto" w:sz="8"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spacing w:before="0" w:after="0" w:line="300" w:lineRule="exact"/>
              <w:jc w:val="left"/>
              <w:rPr>
                <w:rFonts w:hint="eastAsia" w:ascii="仿宋_GB2312" w:hAnsi="仿宋_GB2312" w:eastAsia="仿宋_GB2312" w:cs="仿宋_GB2312"/>
                <w:color w:val="000000"/>
                <w:sz w:val="24"/>
                <w:szCs w:val="24"/>
                <w:lang w:val="en-US" w:eastAsia="zh-CN" w:bidi="ar-SA"/>
              </w:rPr>
            </w:pPr>
            <w:r>
              <w:rPr>
                <w:rFonts w:hint="eastAsia" w:ascii="仿宋_GB2312" w:hAnsi="仿宋_GB2312" w:eastAsia="仿宋_GB2312" w:cs="仿宋_GB2312"/>
                <w:color w:val="000000"/>
                <w:sz w:val="24"/>
                <w:szCs w:val="24"/>
                <w:lang w:val="en-US" w:eastAsia="zh-CN" w:bidi="ar-SA"/>
              </w:rPr>
              <w:t>项目工作人员、志愿者劳务费（含劳务补贴、误餐费、交通补助等）和专家咨询/讲课费、财务人员补助等，不超过预算总额的</w:t>
            </w:r>
            <w:r>
              <w:rPr>
                <w:rFonts w:hint="eastAsia" w:ascii="Times New Roman" w:hAnsi="Times New Roman" w:eastAsia="仿宋_GB2312" w:cs="Times New Roman"/>
                <w:color w:val="000000"/>
                <w:kern w:val="0"/>
                <w:sz w:val="24"/>
                <w:szCs w:val="24"/>
                <w:lang w:val="en-US" w:eastAsia="zh-CN" w:bidi="ar-SA"/>
              </w:rPr>
              <w:t>60%</w:t>
            </w:r>
            <w:r>
              <w:rPr>
                <w:rFonts w:hint="eastAsia" w:ascii="仿宋_GB2312" w:hAnsi="仿宋_GB2312" w:eastAsia="仿宋_GB2312" w:cs="仿宋_GB2312"/>
                <w:color w:val="000000"/>
                <w:sz w:val="24"/>
                <w:szCs w:val="24"/>
                <w:lang w:val="en-US" w:eastAsia="zh-CN" w:bidi="ar-SA"/>
              </w:rPr>
              <w:t>。</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2</w:t>
            </w:r>
          </w:p>
        </w:tc>
        <w:tc>
          <w:tcPr>
            <w:tcW w:w="9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宣传干预材料费</w:t>
            </w:r>
          </w:p>
        </w:tc>
        <w:tc>
          <w:tcPr>
            <w:tcW w:w="4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Times New Roman" w:hAnsi="Times New Roman" w:eastAsia="仿宋_GB2312" w:cs="Times New Roman"/>
                <w:kern w:val="0"/>
                <w:sz w:val="24"/>
                <w:szCs w:val="24"/>
                <w:lang w:val="en-US" w:eastAsia="zh-CN"/>
              </w:rPr>
              <w:t>1.</w:t>
            </w:r>
            <w:r>
              <w:rPr>
                <w:rFonts w:hint="eastAsia" w:ascii="仿宋_GB2312" w:hAnsi="仿宋_GB2312" w:eastAsia="仿宋_GB2312" w:cs="仿宋_GB2312"/>
                <w:kern w:val="0"/>
                <w:sz w:val="24"/>
                <w:szCs w:val="24"/>
              </w:rPr>
              <w:t>根据实际发生的费用类别，依据市场价格预算。</w:t>
            </w:r>
          </w:p>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Times New Roman" w:hAnsi="Times New Roman" w:eastAsia="仿宋_GB2312" w:cs="Times New Roman"/>
                <w:kern w:val="0"/>
                <w:sz w:val="24"/>
                <w:szCs w:val="24"/>
                <w:lang w:val="en-US" w:eastAsia="zh-CN"/>
              </w:rPr>
              <w:t>2.</w:t>
            </w:r>
            <w:r>
              <w:rPr>
                <w:rFonts w:hint="eastAsia" w:ascii="仿宋_GB2312" w:hAnsi="仿宋_GB2312" w:eastAsia="仿宋_GB2312" w:cs="仿宋_GB2312"/>
                <w:kern w:val="0"/>
                <w:sz w:val="24"/>
                <w:szCs w:val="24"/>
              </w:rPr>
              <w:t>制作的宣传小礼品不超过</w:t>
            </w:r>
            <w:r>
              <w:rPr>
                <w:rFonts w:hint="eastAsia" w:ascii="Times New Roman" w:hAnsi="Times New Roman" w:eastAsia="仿宋_GB2312" w:cs="Times New Roman"/>
                <w:kern w:val="0"/>
                <w:sz w:val="24"/>
                <w:szCs w:val="24"/>
                <w:lang w:val="en-US" w:eastAsia="zh-CN"/>
              </w:rPr>
              <w:t>15</w:t>
            </w:r>
            <w:r>
              <w:rPr>
                <w:rFonts w:hint="eastAsia" w:ascii="仿宋_GB2312" w:hAnsi="仿宋_GB2312" w:eastAsia="仿宋_GB2312" w:cs="仿宋_GB2312"/>
                <w:kern w:val="0"/>
                <w:sz w:val="24"/>
                <w:szCs w:val="24"/>
              </w:rPr>
              <w:t>元/件，总费用不得超过</w:t>
            </w:r>
            <w:r>
              <w:rPr>
                <w:rFonts w:hint="eastAsia" w:ascii="Times New Roman" w:hAnsi="Times New Roman" w:eastAsia="仿宋_GB2312" w:cs="Times New Roman"/>
                <w:kern w:val="0"/>
                <w:sz w:val="24"/>
                <w:szCs w:val="24"/>
                <w:lang w:val="en-US" w:eastAsia="zh-CN"/>
              </w:rPr>
              <w:t>15</w:t>
            </w:r>
            <w:r>
              <w:rPr>
                <w:rFonts w:hint="eastAsia" w:ascii="仿宋_GB2312" w:hAnsi="仿宋_GB2312" w:eastAsia="仿宋_GB2312" w:cs="仿宋_GB2312"/>
                <w:kern w:val="0"/>
                <w:sz w:val="24"/>
                <w:szCs w:val="24"/>
              </w:rPr>
              <w:t>元</w:t>
            </w:r>
            <w:r>
              <w:rPr>
                <w:rFonts w:ascii="Arial" w:hAnsi="Arial" w:eastAsia="仿宋_GB2312" w:cs="Arial"/>
                <w:kern w:val="0"/>
                <w:sz w:val="24"/>
                <w:szCs w:val="24"/>
              </w:rPr>
              <w:t>×</w:t>
            </w:r>
            <w:r>
              <w:rPr>
                <w:rFonts w:hint="eastAsia" w:ascii="仿宋_GB2312" w:hAnsi="仿宋_GB2312" w:eastAsia="仿宋_GB2312" w:cs="仿宋_GB2312"/>
                <w:kern w:val="0"/>
                <w:sz w:val="24"/>
                <w:szCs w:val="24"/>
              </w:rPr>
              <w:t>目标人数。</w:t>
            </w:r>
          </w:p>
        </w:tc>
        <w:tc>
          <w:tcPr>
            <w:tcW w:w="3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spacing w:before="0" w:after="0" w:line="300" w:lineRule="exact"/>
              <w:jc w:val="left"/>
              <w:rPr>
                <w:rFonts w:hint="eastAsia" w:ascii="仿宋_GB2312" w:hAnsi="仿宋_GB2312" w:eastAsia="仿宋_GB2312" w:cs="仿宋_GB2312"/>
                <w:color w:val="000000"/>
                <w:sz w:val="24"/>
                <w:szCs w:val="24"/>
                <w:lang w:val="en-US" w:eastAsia="zh-CN" w:bidi="ar-SA"/>
              </w:rPr>
            </w:pPr>
            <w:r>
              <w:rPr>
                <w:rFonts w:hint="eastAsia" w:ascii="仿宋_GB2312" w:hAnsi="仿宋_GB2312" w:eastAsia="仿宋_GB2312" w:cs="仿宋_GB2312"/>
                <w:color w:val="000000"/>
                <w:sz w:val="24"/>
                <w:szCs w:val="24"/>
                <w:lang w:val="en-US" w:eastAsia="zh-CN" w:bidi="ar-SA"/>
              </w:rPr>
              <w:t>在预算标准内凭发票据实报销，附出入库单。发放大于</w:t>
            </w:r>
            <w:r>
              <w:rPr>
                <w:rFonts w:hint="eastAsia" w:ascii="Times New Roman" w:hAnsi="Times New Roman" w:eastAsia="仿宋_GB2312" w:cs="Times New Roman"/>
                <w:color w:val="000000"/>
                <w:kern w:val="0"/>
                <w:sz w:val="24"/>
                <w:szCs w:val="24"/>
                <w:lang w:val="en-US" w:eastAsia="zh-CN" w:bidi="ar-SA"/>
              </w:rPr>
              <w:t>10</w:t>
            </w:r>
            <w:r>
              <w:rPr>
                <w:rFonts w:hint="eastAsia" w:ascii="仿宋_GB2312" w:hAnsi="仿宋_GB2312" w:eastAsia="仿宋_GB2312" w:cs="仿宋_GB2312"/>
                <w:color w:val="000000"/>
                <w:sz w:val="24"/>
                <w:szCs w:val="24"/>
                <w:lang w:val="en-US" w:eastAsia="zh-CN" w:bidi="ar-SA"/>
              </w:rPr>
              <w:t>元/件的宣传小礼品，应附目标人群物品领取明细单。</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412" w:hRule="atLeast"/>
        </w:trPr>
        <w:tc>
          <w:tcPr>
            <w:tcW w:w="81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3</w:t>
            </w:r>
          </w:p>
        </w:tc>
        <w:tc>
          <w:tcPr>
            <w:tcW w:w="9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现场活动费</w:t>
            </w:r>
          </w:p>
        </w:tc>
        <w:tc>
          <w:tcPr>
            <w:tcW w:w="4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1"/>
              </w:numPr>
              <w:tabs>
                <w:tab w:val="left" w:pos="419"/>
              </w:tabs>
              <w:kinsoku/>
              <w:wordWrap/>
              <w:overflowPunct/>
              <w:topLinePunct w:val="0"/>
              <w:bidi w:val="0"/>
              <w:spacing w:line="300" w:lineRule="exact"/>
              <w:jc w:val="left"/>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餐费每人每次不超过</w:t>
            </w:r>
            <w:r>
              <w:rPr>
                <w:rFonts w:hint="eastAsia" w:ascii="Times New Roman" w:hAnsi="Times New Roman" w:eastAsia="仿宋_GB2312" w:cs="Times New Roman"/>
                <w:kern w:val="0"/>
                <w:sz w:val="24"/>
                <w:szCs w:val="24"/>
                <w:lang w:val="en-US" w:eastAsia="zh-CN" w:bidi="ar-SA"/>
              </w:rPr>
              <w:t>50</w:t>
            </w:r>
            <w:r>
              <w:rPr>
                <w:rFonts w:hint="eastAsia" w:ascii="仿宋_GB2312" w:hAnsi="仿宋_GB2312" w:eastAsia="仿宋_GB2312" w:cs="仿宋_GB2312"/>
                <w:sz w:val="24"/>
                <w:szCs w:val="24"/>
                <w:lang w:val="en-US" w:eastAsia="zh-CN" w:bidi="ar-SA"/>
              </w:rPr>
              <w:t>元，场租费据实报销。</w:t>
            </w:r>
          </w:p>
          <w:p>
            <w:pPr>
              <w:keepNext w:val="0"/>
              <w:keepLines w:val="0"/>
              <w:pageBreakBefore w:val="0"/>
              <w:widowControl w:val="0"/>
              <w:kinsoku/>
              <w:wordWrap/>
              <w:overflowPunct/>
              <w:topLinePunct w:val="0"/>
              <w:bidi w:val="0"/>
              <w:spacing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Times New Roman" w:hAnsi="Times New Roman" w:eastAsia="仿宋_GB2312" w:cs="Times New Roman"/>
                <w:kern w:val="0"/>
                <w:sz w:val="24"/>
                <w:szCs w:val="24"/>
                <w:lang w:val="en-US" w:eastAsia="zh-CN"/>
              </w:rPr>
              <w:t>2.</w:t>
            </w:r>
            <w:r>
              <w:rPr>
                <w:rFonts w:hint="eastAsia" w:ascii="仿宋_GB2312" w:hAnsi="仿宋_GB2312" w:eastAsia="仿宋_GB2312" w:cs="仿宋_GB2312"/>
                <w:kern w:val="0"/>
                <w:sz w:val="24"/>
                <w:szCs w:val="24"/>
              </w:rPr>
              <w:t>交通费凭发票据实报销，并应注明起始地点，活动内容。</w:t>
            </w:r>
          </w:p>
        </w:tc>
        <w:tc>
          <w:tcPr>
            <w:tcW w:w="351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开展活动时发生的餐费和交通费，不允许造册发放，应在预算标准内凭发票据实报销（不支持汽油费）。</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32" w:hRule="atLeast"/>
        </w:trPr>
        <w:tc>
          <w:tcPr>
            <w:tcW w:w="81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4</w:t>
            </w:r>
          </w:p>
        </w:tc>
        <w:tc>
          <w:tcPr>
            <w:tcW w:w="9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会议培训费</w:t>
            </w:r>
          </w:p>
        </w:tc>
        <w:tc>
          <w:tcPr>
            <w:tcW w:w="4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开支标准不超过</w:t>
            </w:r>
            <w:r>
              <w:rPr>
                <w:rFonts w:hint="eastAsia" w:ascii="Times New Roman" w:hAnsi="Times New Roman" w:eastAsia="仿宋_GB2312" w:cs="Times New Roman"/>
                <w:kern w:val="0"/>
                <w:sz w:val="24"/>
                <w:szCs w:val="24"/>
                <w:lang w:val="en-US" w:eastAsia="zh-CN"/>
              </w:rPr>
              <w:t>200</w:t>
            </w:r>
            <w:r>
              <w:rPr>
                <w:rFonts w:hint="eastAsia" w:ascii="仿宋_GB2312" w:hAnsi="仿宋_GB2312" w:eastAsia="仿宋_GB2312" w:cs="仿宋_GB2312"/>
                <w:kern w:val="0"/>
                <w:sz w:val="24"/>
                <w:szCs w:val="24"/>
              </w:rPr>
              <w:t>元/人/天，其中伙食费不超过</w:t>
            </w:r>
            <w:r>
              <w:rPr>
                <w:rFonts w:hint="eastAsia" w:ascii="Times New Roman" w:hAnsi="Times New Roman" w:eastAsia="仿宋_GB2312" w:cs="Times New Roman"/>
                <w:kern w:val="0"/>
                <w:sz w:val="24"/>
                <w:szCs w:val="24"/>
                <w:lang w:val="en-US" w:eastAsia="zh-CN"/>
              </w:rPr>
              <w:t>120</w:t>
            </w:r>
            <w:r>
              <w:rPr>
                <w:rFonts w:hint="eastAsia" w:ascii="仿宋_GB2312" w:hAnsi="仿宋_GB2312" w:eastAsia="仿宋_GB2312" w:cs="仿宋_GB2312"/>
                <w:kern w:val="0"/>
                <w:sz w:val="24"/>
                <w:szCs w:val="24"/>
              </w:rPr>
              <w:t>元/人/天</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场租、交通费和材料费不超过</w:t>
            </w:r>
            <w:r>
              <w:rPr>
                <w:rFonts w:hint="eastAsia" w:ascii="Times New Roman" w:hAnsi="Times New Roman" w:eastAsia="仿宋_GB2312" w:cs="Times New Roman"/>
                <w:kern w:val="0"/>
                <w:sz w:val="24"/>
                <w:szCs w:val="24"/>
                <w:lang w:val="en-US" w:eastAsia="zh-CN"/>
              </w:rPr>
              <w:t>50</w:t>
            </w:r>
            <w:r>
              <w:rPr>
                <w:rFonts w:hint="eastAsia" w:ascii="仿宋_GB2312" w:hAnsi="仿宋_GB2312" w:eastAsia="仿宋_GB2312" w:cs="仿宋_GB2312"/>
                <w:kern w:val="0"/>
                <w:sz w:val="24"/>
                <w:szCs w:val="24"/>
              </w:rPr>
              <w:t>元/人/天,其他杂费不超过</w:t>
            </w:r>
            <w:r>
              <w:rPr>
                <w:rFonts w:hint="eastAsia" w:ascii="Times New Roman" w:hAnsi="Times New Roman" w:eastAsia="仿宋_GB2312" w:cs="Times New Roman"/>
                <w:kern w:val="0"/>
                <w:sz w:val="24"/>
                <w:szCs w:val="24"/>
                <w:lang w:val="en-US" w:eastAsia="zh-CN"/>
              </w:rPr>
              <w:t>30</w:t>
            </w:r>
            <w:r>
              <w:rPr>
                <w:rFonts w:hint="eastAsia" w:ascii="仿宋_GB2312" w:hAnsi="仿宋_GB2312" w:eastAsia="仿宋_GB2312" w:cs="仿宋_GB2312"/>
                <w:kern w:val="0"/>
                <w:sz w:val="24"/>
                <w:szCs w:val="24"/>
              </w:rPr>
              <w:t>元/人/天。</w:t>
            </w:r>
          </w:p>
        </w:tc>
        <w:tc>
          <w:tcPr>
            <w:tcW w:w="351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开支以此为最高标准，各</w:t>
            </w:r>
            <w:r>
              <w:rPr>
                <w:rFonts w:hint="eastAsia" w:ascii="仿宋_GB2312" w:hAnsi="仿宋_GB2312" w:eastAsia="仿宋_GB2312" w:cs="仿宋_GB2312"/>
                <w:kern w:val="0"/>
                <w:sz w:val="24"/>
                <w:szCs w:val="24"/>
                <w:lang w:eastAsia="zh-CN"/>
              </w:rPr>
              <w:t>地</w:t>
            </w:r>
            <w:r>
              <w:rPr>
                <w:rFonts w:hint="eastAsia" w:ascii="仿宋_GB2312" w:hAnsi="仿宋_GB2312" w:eastAsia="仿宋_GB2312" w:cs="仿宋_GB2312"/>
                <w:kern w:val="0"/>
                <w:sz w:val="24"/>
                <w:szCs w:val="24"/>
              </w:rPr>
              <w:t>参照当地财政标准执行。</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81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p>
        </w:tc>
        <w:tc>
          <w:tcPr>
            <w:tcW w:w="9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差旅费和市内交通费</w:t>
            </w:r>
          </w:p>
        </w:tc>
        <w:tc>
          <w:tcPr>
            <w:tcW w:w="4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Times New Roman" w:hAnsi="Times New Roman" w:eastAsia="仿宋_GB2312" w:cs="Times New Roman"/>
                <w:kern w:val="0"/>
                <w:sz w:val="24"/>
                <w:szCs w:val="24"/>
                <w:lang w:val="en-US" w:eastAsia="zh-CN"/>
              </w:rPr>
              <w:t>1.</w:t>
            </w:r>
            <w:r>
              <w:rPr>
                <w:rFonts w:hint="eastAsia" w:ascii="仿宋_GB2312" w:hAnsi="仿宋_GB2312" w:eastAsia="仿宋_GB2312" w:cs="仿宋_GB2312"/>
                <w:kern w:val="0"/>
                <w:sz w:val="24"/>
                <w:szCs w:val="24"/>
              </w:rPr>
              <w:t>差旅费</w:t>
            </w:r>
            <w:r>
              <w:rPr>
                <w:rFonts w:hint="eastAsia" w:ascii="仿宋_GB2312" w:hAnsi="仿宋_GB2312" w:eastAsia="仿宋_GB2312" w:cs="仿宋_GB2312"/>
                <w:kern w:val="0"/>
                <w:sz w:val="24"/>
                <w:szCs w:val="24"/>
                <w:lang w:eastAsia="zh-CN"/>
              </w:rPr>
              <w:t>按照</w:t>
            </w:r>
            <w:r>
              <w:rPr>
                <w:rFonts w:hint="eastAsia" w:ascii="仿宋_GB2312" w:hAnsi="仿宋_GB2312" w:eastAsia="仿宋_GB2312" w:cs="仿宋_GB2312"/>
                <w:kern w:val="0"/>
                <w:sz w:val="24"/>
                <w:szCs w:val="24"/>
                <w:lang w:val="en-US" w:eastAsia="zh-CN"/>
              </w:rPr>
              <w:t>各县（区）相关</w:t>
            </w:r>
            <w:r>
              <w:rPr>
                <w:rFonts w:hint="eastAsia" w:ascii="仿宋_GB2312" w:hAnsi="仿宋_GB2312" w:eastAsia="仿宋_GB2312" w:cs="仿宋_GB2312"/>
                <w:kern w:val="0"/>
                <w:sz w:val="24"/>
                <w:szCs w:val="24"/>
              </w:rPr>
              <w:t>文件执行</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各</w:t>
            </w:r>
            <w:r>
              <w:rPr>
                <w:rFonts w:hint="eastAsia" w:ascii="仿宋_GB2312" w:hAnsi="仿宋_GB2312" w:eastAsia="仿宋_GB2312" w:cs="仿宋_GB2312"/>
                <w:kern w:val="0"/>
                <w:sz w:val="24"/>
                <w:szCs w:val="24"/>
                <w:lang w:eastAsia="zh-CN"/>
              </w:rPr>
              <w:t>地</w:t>
            </w:r>
            <w:r>
              <w:rPr>
                <w:rFonts w:hint="eastAsia" w:ascii="仿宋_GB2312" w:hAnsi="仿宋_GB2312" w:eastAsia="仿宋_GB2312" w:cs="仿宋_GB2312"/>
                <w:kern w:val="0"/>
                <w:sz w:val="24"/>
                <w:szCs w:val="24"/>
              </w:rPr>
              <w:t>参照当地财政标准</w:t>
            </w:r>
            <w:r>
              <w:rPr>
                <w:rFonts w:hint="eastAsia" w:ascii="仿宋_GB2312" w:hAnsi="仿宋_GB2312" w:eastAsia="仿宋_GB2312" w:cs="仿宋_GB2312"/>
                <w:kern w:val="0"/>
                <w:sz w:val="24"/>
                <w:szCs w:val="24"/>
                <w:lang w:eastAsia="zh-CN"/>
              </w:rPr>
              <w:t>执行</w:t>
            </w:r>
            <w:r>
              <w:rPr>
                <w:rFonts w:hint="eastAsia" w:ascii="仿宋_GB2312" w:hAnsi="仿宋_GB2312" w:eastAsia="仿宋_GB2312" w:cs="仿宋_GB2312"/>
                <w:kern w:val="0"/>
                <w:sz w:val="24"/>
                <w:szCs w:val="24"/>
              </w:rPr>
              <w:t>；</w:t>
            </w:r>
          </w:p>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Times New Roman" w:hAnsi="Times New Roman" w:eastAsia="仿宋_GB2312" w:cs="Times New Roman"/>
                <w:kern w:val="0"/>
                <w:sz w:val="24"/>
                <w:szCs w:val="24"/>
                <w:lang w:val="en-US" w:eastAsia="zh-CN"/>
              </w:rPr>
              <w:t>2.</w:t>
            </w:r>
            <w:r>
              <w:rPr>
                <w:rFonts w:hint="eastAsia" w:ascii="仿宋_GB2312" w:hAnsi="仿宋_GB2312" w:eastAsia="仿宋_GB2312" w:cs="仿宋_GB2312"/>
                <w:kern w:val="0"/>
                <w:sz w:val="24"/>
                <w:szCs w:val="24"/>
              </w:rPr>
              <w:t>市内交通费据实报销。</w:t>
            </w:r>
          </w:p>
        </w:tc>
        <w:tc>
          <w:tcPr>
            <w:tcW w:w="351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spacing w:before="0" w:after="0" w:line="300" w:lineRule="exact"/>
              <w:jc w:val="left"/>
              <w:rPr>
                <w:rFonts w:hint="eastAsia" w:ascii="仿宋_GB2312" w:hAnsi="仿宋_GB2312" w:eastAsia="仿宋_GB2312" w:cs="仿宋_GB2312"/>
                <w:color w:val="000000"/>
                <w:sz w:val="24"/>
                <w:szCs w:val="24"/>
                <w:lang w:val="en-US" w:eastAsia="zh-CN" w:bidi="ar-SA"/>
              </w:rPr>
            </w:pPr>
            <w:r>
              <w:rPr>
                <w:rFonts w:hint="eastAsia" w:ascii="仿宋_GB2312" w:hAnsi="仿宋_GB2312" w:eastAsia="仿宋_GB2312" w:cs="仿宋_GB2312"/>
                <w:color w:val="000000"/>
                <w:sz w:val="24"/>
                <w:szCs w:val="24"/>
                <w:lang w:val="en-US" w:eastAsia="zh-CN" w:bidi="ar-SA"/>
              </w:rPr>
              <w:t>包括项目工作人员、志愿者和专家出差产生的食宿费、城际交通费，以及日常市内交通费等，差旅补助费在人员劳务费中列支。</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938" w:hRule="atLeast"/>
        </w:trPr>
        <w:tc>
          <w:tcPr>
            <w:tcW w:w="81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p>
        </w:tc>
        <w:tc>
          <w:tcPr>
            <w:tcW w:w="9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办公费</w:t>
            </w:r>
          </w:p>
        </w:tc>
        <w:tc>
          <w:tcPr>
            <w:tcW w:w="4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据实报销。</w:t>
            </w:r>
          </w:p>
        </w:tc>
        <w:tc>
          <w:tcPr>
            <w:tcW w:w="351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spacing w:before="0" w:after="0" w:line="300" w:lineRule="exact"/>
              <w:jc w:val="left"/>
              <w:rPr>
                <w:rFonts w:hint="eastAsia" w:ascii="仿宋_GB2312" w:hAnsi="仿宋_GB2312" w:eastAsia="仿宋_GB2312" w:cs="仿宋_GB2312"/>
                <w:color w:val="000000"/>
                <w:sz w:val="24"/>
                <w:szCs w:val="24"/>
                <w:lang w:val="en-US" w:eastAsia="zh-CN" w:bidi="ar-SA"/>
              </w:rPr>
            </w:pPr>
            <w:r>
              <w:rPr>
                <w:rFonts w:hint="eastAsia" w:ascii="仿宋_GB2312" w:hAnsi="仿宋_GB2312" w:eastAsia="仿宋_GB2312" w:cs="仿宋_GB2312"/>
                <w:color w:val="000000"/>
                <w:sz w:val="24"/>
                <w:szCs w:val="24"/>
                <w:lang w:val="en-US" w:eastAsia="zh-CN" w:bidi="ar-SA"/>
              </w:rPr>
              <w:t>包括购买办公用品、社会组织水电补助、邮电费和通讯费等。</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817"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7</w:t>
            </w:r>
          </w:p>
        </w:tc>
        <w:tc>
          <w:tcPr>
            <w:tcW w:w="9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托管机构管理费</w:t>
            </w:r>
          </w:p>
        </w:tc>
        <w:tc>
          <w:tcPr>
            <w:tcW w:w="4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pacing w:before="0" w:after="0" w:line="300" w:lineRule="exact"/>
              <w:ind w:left="0" w:leftChars="0" w:firstLine="0" w:firstLineChars="0"/>
              <w:jc w:val="left"/>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不超过项目总预算的</w:t>
            </w:r>
            <w:r>
              <w:rPr>
                <w:rFonts w:ascii="Times New Roman" w:hAnsi="Times New Roman" w:eastAsia="仿宋_GB2312" w:cs="Times New Roman"/>
                <w:kern w:val="0"/>
                <w:sz w:val="24"/>
                <w:szCs w:val="24"/>
              </w:rPr>
              <w:t>5%</w:t>
            </w:r>
            <w:r>
              <w:rPr>
                <w:rFonts w:hint="eastAsia" w:ascii="仿宋_GB2312" w:hAnsi="仿宋_GB2312" w:eastAsia="仿宋_GB2312" w:cs="仿宋_GB2312"/>
                <w:kern w:val="0"/>
                <w:sz w:val="24"/>
                <w:szCs w:val="24"/>
              </w:rPr>
              <w:t>。</w:t>
            </w:r>
          </w:p>
        </w:tc>
        <w:tc>
          <w:tcPr>
            <w:tcW w:w="3510"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spacing w:before="0" w:after="0" w:line="300" w:lineRule="exact"/>
              <w:jc w:val="left"/>
              <w:rPr>
                <w:rFonts w:hint="eastAsia" w:ascii="仿宋_GB2312" w:hAnsi="仿宋_GB2312" w:eastAsia="仿宋_GB2312" w:cs="仿宋_GB2312"/>
                <w:color w:val="000000"/>
                <w:sz w:val="24"/>
                <w:szCs w:val="24"/>
                <w:lang w:val="en-US" w:eastAsia="zh-CN" w:bidi="ar-SA"/>
              </w:rPr>
            </w:pPr>
            <w:r>
              <w:rPr>
                <w:rFonts w:hint="eastAsia" w:ascii="仿宋_GB2312" w:hAnsi="仿宋_GB2312" w:eastAsia="仿宋_GB2312" w:cs="仿宋_GB2312"/>
                <w:color w:val="000000"/>
                <w:sz w:val="24"/>
                <w:szCs w:val="24"/>
                <w:lang w:val="en-US" w:eastAsia="zh-CN" w:bidi="ar-SA"/>
              </w:rPr>
              <w:t>支持托管机构的办公费或财务人员补助。财务人员补助应进入人员劳务费统一计算。</w:t>
            </w:r>
          </w:p>
        </w:tc>
      </w:tr>
    </w:tbl>
    <w:p>
      <w:pPr>
        <w:keepNext w:val="0"/>
        <w:keepLines w:val="0"/>
        <w:pageBreakBefore w:val="0"/>
        <w:widowControl w:val="0"/>
        <w:tabs>
          <w:tab w:val="left" w:pos="426"/>
          <w:tab w:val="left" w:pos="540"/>
        </w:tabs>
        <w:kinsoku/>
        <w:wordWrap/>
        <w:overflowPunct/>
        <w:topLinePunct w:val="0"/>
        <w:autoSpaceDE/>
        <w:autoSpaceDN/>
        <w:bidi w:val="0"/>
        <w:adjustRightInd/>
        <w:snapToGrid/>
        <w:spacing w:line="578" w:lineRule="exact"/>
        <w:ind w:firstLine="643" w:firstLineChars="200"/>
        <w:jc w:val="both"/>
        <w:textAlignment w:val="auto"/>
        <w:rPr>
          <w:rFonts w:hint="eastAsia" w:ascii="方正楷体_GBK" w:hAnsi="方正楷体_GBK" w:eastAsia="方正楷体_GBK" w:cs="方正楷体_GBK"/>
          <w:b/>
          <w:bCs/>
          <w:sz w:val="32"/>
          <w:szCs w:val="32"/>
          <w:lang w:val="en-US" w:eastAsia="zh-CN" w:bidi="ar-SA"/>
        </w:rPr>
      </w:pPr>
      <w:r>
        <w:rPr>
          <w:rFonts w:hint="eastAsia" w:ascii="方正楷体_GBK" w:hAnsi="方正楷体_GBK" w:eastAsia="方正楷体_GBK" w:cs="方正楷体_GBK"/>
          <w:b/>
          <w:bCs/>
          <w:sz w:val="32"/>
          <w:szCs w:val="32"/>
          <w:lang w:val="en-US" w:eastAsia="zh-CN" w:bidi="ar-SA"/>
        </w:rPr>
        <w:t>（二）不支持的活动开支</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ascii="Times New Roman" w:hAnsi="Times New Roman" w:eastAsia="方正仿宋_GBK" w:cs="Times New Roman"/>
          <w:sz w:val="32"/>
          <w:szCs w:val="32"/>
          <w:lang w:val="en-US" w:eastAsia="zh-CN" w:bidi="ar-SA"/>
        </w:rPr>
      </w:pPr>
      <w:r>
        <w:rPr>
          <w:rFonts w:ascii="Times New Roman" w:hAnsi="Times New Roman" w:eastAsia="方正仿宋_GBK" w:cs="Times New Roman"/>
          <w:sz w:val="32"/>
          <w:szCs w:val="32"/>
          <w:lang w:val="en-US" w:eastAsia="zh-CN" w:bidi="ar-SA"/>
        </w:rPr>
        <w:t>不支持计划外活动；不支持土建、罚款、偿债、捐款、赞助、投资；在举办会议或培训时，不支持购买洗漱用品、纪念品、礼品和土特产，不支持摆放鲜花、烟酒、茶歇，不支持参会代表洗衣、长途电话、游览、娱乐和健身等费用，不支持举办地参会代表住宿费用，不支持因提高用餐、住宿标准而产生的费用；不支持购买安全套和检测试剂等费用。</w:t>
      </w:r>
    </w:p>
    <w:p>
      <w:pPr>
        <w:pStyle w:val="8"/>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Times New Roman" w:hAnsi="Times New Roman" w:eastAsia="方正仿宋_GBK" w:cs="Times New Roman"/>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swiss"/>
    <w:pitch w:val="default"/>
    <w:sig w:usb0="E0002EFF" w:usb1="C000785B" w:usb2="00000009" w:usb3="00000000" w:csb0="400001FF" w:csb1="FFFF0000"/>
  </w:font>
  <w:font w:name="宋体">
    <w:panose1 w:val="02010600030101010101"/>
    <w:charset w:val="7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9CF685"/>
    <w:multiLevelType w:val="singleLevel"/>
    <w:tmpl w:val="599CF68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F014FE"/>
    <w:rsid w:val="21F0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Normal Indent"/>
    <w:basedOn w:val="1"/>
    <w:next w:val="1"/>
    <w:qFormat/>
    <w:uiPriority w:val="99"/>
    <w:pPr>
      <w:ind w:firstLine="420" w:firstLineChars="200"/>
    </w:pPr>
  </w:style>
  <w:style w:type="paragraph" w:customStyle="1" w:styleId="6">
    <w:name w:val="正文 New New"/>
    <w:qFormat/>
    <w:uiPriority w:val="0"/>
    <w:pPr>
      <w:widowControl w:val="0"/>
      <w:jc w:val="both"/>
    </w:pPr>
    <w:rPr>
      <w:rFonts w:ascii="Times New Roman" w:hAnsi="Times New Roman" w:eastAsia="宋体" w:cs="Times New Roman"/>
      <w:szCs w:val="21"/>
      <w:lang w:val="en-US" w:eastAsia="zh-CN" w:bidi="ar-SA"/>
    </w:rPr>
  </w:style>
  <w:style w:type="paragraph" w:customStyle="1" w:styleId="7">
    <w:name w:val="Default"/>
    <w:qFormat/>
    <w:uiPriority w:val="0"/>
    <w:pPr>
      <w:widowControl w:val="0"/>
      <w:autoSpaceDE w:val="0"/>
      <w:autoSpaceDN w:val="0"/>
    </w:pPr>
    <w:rPr>
      <w:rFonts w:ascii="宋体" w:hAnsi="Calibri" w:eastAsia="宋体" w:cs="宋体"/>
      <w:color w:val="000000"/>
      <w:sz w:val="24"/>
      <w:szCs w:val="24"/>
      <w:lang w:val="en-US" w:eastAsia="zh-CN" w:bidi="ar-SA"/>
    </w:rPr>
  </w:style>
  <w:style w:type="paragraph" w:customStyle="1" w:styleId="8">
    <w:name w:val="正文 New"/>
    <w:qFormat/>
    <w:uiPriority w:val="0"/>
    <w:pPr>
      <w:widowControl w:val="0"/>
      <w:jc w:val="both"/>
    </w:pPr>
    <w:rPr>
      <w:rFonts w:ascii="Times New Roman" w:hAnsi="Times New Roman" w:eastAsia="宋体" w:cs="Times New Roman"/>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2026-08-04T03:36:00Z</dcterms:created>
  <dc:creator>hejunxiang</dc:creator>
  <cp:lastModifiedBy>hejunxiang</cp:lastModifiedBy>
  <dcterms:modified xsi:type="dcterms:W3CDTF">2026-08-04T03:37:00Z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