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0" w:leftChars="0" w:firstLine="0" w:firstLineChars="0"/>
        <w:rPr>
          <w:rFonts w:hint="eastAsia" w:eastAsia="方正仿宋_GBK" w:cs="Times New Roman"/>
          <w:sz w:val="32"/>
          <w:szCs w:val="24"/>
          <w:lang w:val="en-US" w:eastAsia="zh-CN" w:bidi="ar-SA"/>
        </w:rPr>
      </w:pPr>
      <w:r>
        <w:rPr>
          <w:rFonts w:hint="eastAsia" w:ascii="方正黑体_GBK" w:hAnsi="方正黑体_GBK" w:eastAsia="方正黑体_GBK" w:cs="方正黑体_GBK"/>
          <w:sz w:val="32"/>
          <w:szCs w:val="24"/>
          <w:lang w:val="en-US" w:eastAsia="zh-CN" w:bidi="ar-SA"/>
        </w:rPr>
        <w:t xml:space="preserve">附件1  </w:t>
      </w:r>
    </w:p>
    <w:p>
      <w:pPr>
        <w:pStyle w:val="2"/>
        <w:ind w:left="0" w:leftChars="0" w:firstLine="0" w:firstLineChars="0"/>
        <w:jc w:val="center"/>
        <w:rPr>
          <w:rFonts w:hint="eastAsia" w:ascii="方正小标宋简体" w:hAnsi="方正小标宋简体" w:eastAsia="方正小标宋简体" w:cs="方正小标宋简体"/>
          <w:sz w:val="44"/>
          <w:szCs w:val="44"/>
          <w:lang w:val="en-US" w:eastAsia="zh-CN" w:bidi="ar-SA"/>
        </w:rPr>
      </w:pPr>
      <w:r>
        <w:rPr>
          <w:rFonts w:hint="eastAsia" w:ascii="方正小标宋简体" w:hAnsi="方正小标宋简体" w:eastAsia="方正小标宋简体" w:cs="方正小标宋简体"/>
          <w:sz w:val="44"/>
          <w:szCs w:val="44"/>
          <w:lang w:val="en-US" w:eastAsia="zh-CN" w:bidi="ar-SA"/>
        </w:rPr>
        <w:t>调研设备需求清单</w:t>
      </w:r>
    </w:p>
    <w:tbl>
      <w:tblPr>
        <w:tblStyle w:val="5"/>
        <w:tblW w:w="8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1524"/>
        <w:gridCol w:w="577"/>
        <w:gridCol w:w="496"/>
        <w:gridCol w:w="4616"/>
        <w:gridCol w:w="7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r>
              <w:rPr>
                <w:rFonts w:hint="eastAsia" w:eastAsia="方正仿宋_GBK" w:cs="Times New Roman"/>
                <w:sz w:val="32"/>
                <w:szCs w:val="24"/>
                <w:lang w:val="en-US" w:eastAsia="zh-CN" w:bidi="ar-SA"/>
              </w:rPr>
              <w:t>序号</w:t>
            </w:r>
          </w:p>
        </w:tc>
        <w:tc>
          <w:tcPr>
            <w:tcW w:w="1524"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r>
              <w:rPr>
                <w:rFonts w:hint="eastAsia" w:eastAsia="方正仿宋_GBK" w:cs="Times New Roman"/>
                <w:sz w:val="32"/>
                <w:szCs w:val="24"/>
                <w:lang w:val="en-US" w:eastAsia="zh-CN" w:bidi="ar-SA"/>
              </w:rPr>
              <w:t>名称</w:t>
            </w:r>
          </w:p>
        </w:tc>
        <w:tc>
          <w:tcPr>
            <w:tcW w:w="577"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r>
              <w:rPr>
                <w:rFonts w:hint="eastAsia" w:eastAsia="方正仿宋_GBK" w:cs="Times New Roman"/>
                <w:sz w:val="32"/>
                <w:szCs w:val="24"/>
                <w:lang w:val="en-US" w:eastAsia="zh-CN" w:bidi="ar-SA"/>
              </w:rPr>
              <w:t>数量</w:t>
            </w:r>
          </w:p>
        </w:tc>
        <w:tc>
          <w:tcPr>
            <w:tcW w:w="496"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r>
              <w:rPr>
                <w:rFonts w:hint="eastAsia" w:eastAsia="方正仿宋_GBK" w:cs="Times New Roman"/>
                <w:sz w:val="32"/>
                <w:szCs w:val="24"/>
                <w:lang w:val="en-US" w:eastAsia="zh-CN" w:bidi="ar-SA"/>
              </w:rPr>
              <w:t>单位</w:t>
            </w:r>
          </w:p>
        </w:tc>
        <w:tc>
          <w:tcPr>
            <w:tcW w:w="4616"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r>
              <w:rPr>
                <w:rFonts w:hint="eastAsia" w:eastAsia="方正仿宋_GBK" w:cs="Times New Roman"/>
                <w:sz w:val="32"/>
                <w:szCs w:val="24"/>
                <w:lang w:val="en-US" w:eastAsia="zh-CN" w:bidi="ar-SA"/>
              </w:rPr>
              <w:t>基本参数及工作要求</w:t>
            </w:r>
          </w:p>
        </w:tc>
        <w:tc>
          <w:tcPr>
            <w:tcW w:w="713"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r>
              <w:rPr>
                <w:rFonts w:hint="eastAsia" w:eastAsia="方正仿宋_GBK" w:cs="Times New Roman"/>
                <w:sz w:val="32"/>
                <w:szCs w:val="24"/>
                <w:lang w:val="en-US" w:eastAsia="zh-CN" w:bidi="ar-S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cs="Times New Roman"/>
                <w:sz w:val="32"/>
                <w:szCs w:val="24"/>
                <w:lang w:val="en-US" w:eastAsia="zh-CN" w:bidi="ar-SA"/>
              </w:rPr>
            </w:pPr>
            <w:r>
              <w:rPr>
                <w:rFonts w:hint="eastAsia" w:eastAsia="方正仿宋_GBK" w:cs="Times New Roman"/>
                <w:sz w:val="32"/>
                <w:szCs w:val="24"/>
                <w:lang w:val="en-US" w:eastAsia="zh-CN" w:bidi="ar-SA"/>
              </w:rPr>
              <w:t>1</w:t>
            </w:r>
          </w:p>
        </w:tc>
        <w:tc>
          <w:tcPr>
            <w:tcW w:w="1524"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cs="Times New Roman"/>
                <w:sz w:val="32"/>
                <w:szCs w:val="24"/>
                <w:lang w:val="en-US" w:eastAsia="zh-CN" w:bidi="ar-SA"/>
              </w:rPr>
            </w:pPr>
            <w:r>
              <w:rPr>
                <w:rFonts w:hint="eastAsia" w:eastAsia="方正仿宋_GBK" w:cs="Times New Roman"/>
                <w:sz w:val="32"/>
                <w:szCs w:val="24"/>
                <w:lang w:val="en-US" w:eastAsia="zh-CN" w:bidi="ar-SA"/>
              </w:rPr>
              <w:t>孵蛋器</w:t>
            </w:r>
          </w:p>
        </w:tc>
        <w:tc>
          <w:tcPr>
            <w:tcW w:w="577"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cs="Times New Roman"/>
                <w:sz w:val="32"/>
                <w:szCs w:val="24"/>
                <w:lang w:val="en-US" w:eastAsia="zh-CN" w:bidi="ar-SA"/>
              </w:rPr>
            </w:pPr>
            <w:r>
              <w:rPr>
                <w:rFonts w:hint="eastAsia" w:eastAsia="方正仿宋_GBK" w:cs="Times New Roman"/>
                <w:sz w:val="32"/>
                <w:szCs w:val="24"/>
                <w:lang w:val="en-US" w:eastAsia="zh-CN" w:bidi="ar-SA"/>
              </w:rPr>
              <w:t>1</w:t>
            </w:r>
          </w:p>
        </w:tc>
        <w:tc>
          <w:tcPr>
            <w:tcW w:w="496"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cs="Times New Roman"/>
                <w:sz w:val="32"/>
                <w:szCs w:val="24"/>
                <w:lang w:val="en-US" w:eastAsia="zh-CN" w:bidi="ar-SA"/>
              </w:rPr>
            </w:pPr>
            <w:r>
              <w:rPr>
                <w:rFonts w:hint="eastAsia" w:eastAsia="方正仿宋_GBK" w:cs="Times New Roman"/>
                <w:sz w:val="32"/>
                <w:szCs w:val="24"/>
                <w:lang w:val="en-US" w:eastAsia="zh-CN" w:bidi="ar-SA"/>
              </w:rPr>
              <w:t>台</w:t>
            </w:r>
          </w:p>
        </w:tc>
        <w:tc>
          <w:tcPr>
            <w:tcW w:w="4616" w:type="dxa"/>
            <w:tcBorders>
              <w:top w:val="single" w:color="auto" w:sz="4" w:space="0"/>
              <w:left w:val="single" w:color="auto" w:sz="4" w:space="0"/>
              <w:bottom w:val="single" w:color="auto" w:sz="4" w:space="0"/>
              <w:right w:val="single" w:color="auto" w:sz="4" w:space="0"/>
              <w:tl2br w:val="nil"/>
              <w:tr2bl w:val="nil"/>
            </w:tcBorders>
            <w:noWrap w:val="0"/>
            <w:vAlign w:val="top"/>
          </w:tcPr>
          <w:p>
            <w:pPr>
              <w:pStyle w:val="7"/>
              <w:spacing w:beforeLines="0" w:afterLines="0" w:line="360" w:lineRule="auto"/>
              <w:ind w:left="0"/>
              <w:rPr>
                <w:rFonts w:hint="default" w:ascii="方正仿宋_GBK" w:hAnsi="方正仿宋_GBK" w:eastAsia="方正仿宋_GBK" w:cs="方正仿宋_GBK"/>
                <w:color w:val="000000"/>
                <w:kern w:val="2"/>
                <w:sz w:val="33"/>
                <w:szCs w:val="33"/>
                <w:shd w:val="clear" w:color="auto" w:fill="FFFFFF"/>
                <w:lang w:val="en-US" w:eastAsia="zh-CN"/>
              </w:rPr>
            </w:pPr>
            <w:r>
              <w:rPr>
                <w:rFonts w:hint="eastAsia" w:ascii="方正仿宋_GBK" w:hAnsi="方正仿宋_GBK" w:eastAsia="方正仿宋_GBK" w:cs="方正仿宋_GBK"/>
                <w:color w:val="000000"/>
                <w:kern w:val="2"/>
                <w:sz w:val="33"/>
                <w:szCs w:val="33"/>
                <w:shd w:val="clear" w:color="auto" w:fill="FFFFFF"/>
                <w:lang w:val="en-US" w:eastAsia="zh-CN"/>
              </w:rPr>
              <w:t>用于病毒培养的鸡胚孵化，可全自动翻蛋，可孵化鸡胚数量≥200个，内置水箱，可实时观察水位，温湿度设置范围及控制精度满足鸡胚孵化要求。</w:t>
            </w:r>
          </w:p>
        </w:tc>
        <w:tc>
          <w:tcPr>
            <w:tcW w:w="713"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cs="Times New Roman"/>
                <w:sz w:val="32"/>
                <w:szCs w:val="24"/>
                <w:lang w:val="en-US" w:eastAsia="zh-CN" w:bidi="ar-SA"/>
              </w:rPr>
            </w:pPr>
            <w:r>
              <w:rPr>
                <w:rFonts w:hint="eastAsia" w:eastAsia="方正仿宋_GBK" w:cs="Times New Roman"/>
                <w:sz w:val="32"/>
                <w:szCs w:val="24"/>
                <w:lang w:val="en-US" w:eastAsia="zh-CN" w:bidi="ar-SA"/>
              </w:rPr>
              <w:t>2</w:t>
            </w:r>
          </w:p>
        </w:tc>
        <w:tc>
          <w:tcPr>
            <w:tcW w:w="1524"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jc w:val="left"/>
              <w:rPr>
                <w:rFonts w:hint="default" w:cs="Times New Roman"/>
                <w:sz w:val="32"/>
                <w:szCs w:val="24"/>
                <w:lang w:val="en-US" w:eastAsia="zh-CN" w:bidi="ar-SA"/>
              </w:rPr>
            </w:pPr>
            <w:r>
              <w:rPr>
                <w:rFonts w:hint="eastAsia" w:ascii="方正仿宋_GBK" w:hAnsi="方正仿宋_GBK" w:eastAsia="方正仿宋_GBK" w:cs="方正仿宋_GBK"/>
                <w:color w:val="000000"/>
                <w:sz w:val="33"/>
                <w:szCs w:val="33"/>
                <w:shd w:val="clear" w:color="auto" w:fill="FFFFFF"/>
                <w:lang w:val="en-US" w:eastAsia="zh-CN"/>
              </w:rPr>
              <w:t>全自动细胞计数仪</w:t>
            </w:r>
          </w:p>
        </w:tc>
        <w:tc>
          <w:tcPr>
            <w:tcW w:w="577"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r>
              <w:rPr>
                <w:rFonts w:hint="eastAsia" w:eastAsia="方正仿宋_GBK" w:cs="Times New Roman"/>
                <w:sz w:val="32"/>
                <w:szCs w:val="24"/>
                <w:lang w:val="en-US" w:eastAsia="zh-CN" w:bidi="ar-SA"/>
              </w:rPr>
              <w:t>1</w:t>
            </w:r>
          </w:p>
        </w:tc>
        <w:tc>
          <w:tcPr>
            <w:tcW w:w="496"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r>
              <w:rPr>
                <w:rFonts w:hint="eastAsia" w:eastAsia="方正仿宋_GBK" w:cs="Times New Roman"/>
                <w:sz w:val="32"/>
                <w:szCs w:val="24"/>
                <w:lang w:val="en-US" w:eastAsia="zh-CN" w:bidi="ar-SA"/>
              </w:rPr>
              <w:t>台</w:t>
            </w:r>
          </w:p>
        </w:tc>
        <w:tc>
          <w:tcPr>
            <w:tcW w:w="4616"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default" w:ascii="方正仿宋_GBK" w:hAnsi="方正仿宋_GBK" w:eastAsia="方正仿宋_GBK" w:cs="方正仿宋_GBK"/>
                <w:color w:val="000000"/>
                <w:kern w:val="2"/>
                <w:sz w:val="33"/>
                <w:szCs w:val="33"/>
                <w:shd w:val="clear" w:color="auto" w:fill="FFFFFF"/>
                <w:lang w:val="en-US" w:eastAsia="zh-CN"/>
              </w:rPr>
            </w:pPr>
            <w:r>
              <w:rPr>
                <w:rFonts w:hint="eastAsia" w:ascii="方正仿宋_GBK" w:hAnsi="方正仿宋_GBK" w:eastAsia="方正仿宋_GBK" w:cs="方正仿宋_GBK"/>
                <w:color w:val="000000"/>
                <w:kern w:val="2"/>
                <w:sz w:val="33"/>
                <w:szCs w:val="33"/>
                <w:shd w:val="clear" w:color="auto" w:fill="FFFFFF"/>
                <w:lang w:val="en-US" w:eastAsia="zh-CN"/>
              </w:rPr>
              <w:t>用于细胞计数，可对细胞活力、混合细胞群等进行分析。具备明场和荧光细胞计数功能，可提供细胞总浓度、活细胞和死细胞浓度及其占比、细胞活率、直径分布图等数据。计数板可重复使用。 </w:t>
            </w:r>
          </w:p>
        </w:tc>
        <w:tc>
          <w:tcPr>
            <w:tcW w:w="713"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cs="Times New Roman"/>
                <w:sz w:val="32"/>
                <w:szCs w:val="24"/>
                <w:lang w:val="en-US" w:eastAsia="zh-CN" w:bidi="ar-SA"/>
              </w:rPr>
            </w:pPr>
            <w:r>
              <w:rPr>
                <w:rFonts w:hint="eastAsia" w:eastAsia="方正仿宋_GBK" w:cs="Times New Roman"/>
                <w:sz w:val="32"/>
                <w:szCs w:val="24"/>
                <w:lang w:val="en-US" w:eastAsia="zh-CN" w:bidi="ar-SA"/>
              </w:rPr>
              <w:t>3</w:t>
            </w:r>
          </w:p>
        </w:tc>
        <w:tc>
          <w:tcPr>
            <w:tcW w:w="1524" w:type="dxa"/>
            <w:tcBorders>
              <w:top w:val="single" w:color="auto" w:sz="4" w:space="0"/>
              <w:left w:val="single" w:color="auto" w:sz="4" w:space="0"/>
              <w:bottom w:val="single" w:color="auto" w:sz="4" w:space="0"/>
              <w:right w:val="single" w:color="auto" w:sz="4" w:space="0"/>
              <w:tl2br w:val="nil"/>
              <w:tr2bl w:val="nil"/>
            </w:tcBorders>
            <w:noWrap w:val="0"/>
            <w:vAlign w:val="top"/>
          </w:tcPr>
          <w:p>
            <w:pPr>
              <w:spacing w:beforeLines="0" w:afterLines="0"/>
              <w:jc w:val="left"/>
              <w:rPr>
                <w:rFonts w:hint="default" w:ascii="宋体" w:hAnsi="宋体" w:eastAsia="宋体" w:cs="宋体"/>
                <w:color w:val="333333"/>
                <w:spacing w:val="30"/>
                <w:sz w:val="28"/>
                <w:szCs w:val="28"/>
                <w:shd w:val="clear" w:color="auto" w:fill="FFFFFF"/>
                <w:lang w:val="en-US" w:eastAsia="zh-CN"/>
              </w:rPr>
            </w:pPr>
            <w:r>
              <w:rPr>
                <w:rFonts w:hint="eastAsia" w:eastAsia="方正仿宋_GBK" w:cs="Times New Roman"/>
                <w:sz w:val="32"/>
                <w:szCs w:val="24"/>
                <w:lang w:val="en-US" w:eastAsia="zh-CN" w:bidi="ar-SA"/>
              </w:rPr>
              <w:t>倒置显微镜</w:t>
            </w:r>
          </w:p>
        </w:tc>
        <w:tc>
          <w:tcPr>
            <w:tcW w:w="577"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r>
              <w:rPr>
                <w:rFonts w:hint="eastAsia" w:eastAsia="方正仿宋_GBK" w:cs="Times New Roman"/>
                <w:sz w:val="32"/>
                <w:szCs w:val="24"/>
                <w:lang w:val="en-US" w:eastAsia="zh-CN" w:bidi="ar-SA"/>
              </w:rPr>
              <w:t>1</w:t>
            </w:r>
          </w:p>
        </w:tc>
        <w:tc>
          <w:tcPr>
            <w:tcW w:w="496"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r>
              <w:rPr>
                <w:rFonts w:hint="eastAsia" w:eastAsia="方正仿宋_GBK" w:cs="Times New Roman"/>
                <w:sz w:val="32"/>
                <w:szCs w:val="24"/>
                <w:lang w:val="en-US" w:eastAsia="zh-CN" w:bidi="ar-SA"/>
              </w:rPr>
              <w:t>台</w:t>
            </w:r>
          </w:p>
        </w:tc>
        <w:tc>
          <w:tcPr>
            <w:tcW w:w="4616"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r>
              <w:rPr>
                <w:rFonts w:hint="eastAsia" w:eastAsia="方正仿宋_GBK" w:cs="Times New Roman"/>
                <w:sz w:val="32"/>
                <w:szCs w:val="24"/>
                <w:lang w:val="en-US" w:eastAsia="zh-CN" w:bidi="ar-SA"/>
              </w:rPr>
              <w:t>用于各类细胞培养的活细胞观察、图像采集等。适配各种细胞培养容器（培养皿、微孔板、培养瓶等）。具备高清显微成像采集功能。</w:t>
            </w:r>
          </w:p>
        </w:tc>
        <w:tc>
          <w:tcPr>
            <w:tcW w:w="713"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cs="Times New Roman"/>
                <w:sz w:val="32"/>
                <w:szCs w:val="24"/>
                <w:lang w:val="en-US" w:eastAsia="zh-CN" w:bidi="ar-SA"/>
              </w:rPr>
            </w:pPr>
            <w:r>
              <w:rPr>
                <w:rFonts w:hint="eastAsia" w:eastAsia="方正仿宋_GBK" w:cs="Times New Roman"/>
                <w:sz w:val="32"/>
                <w:szCs w:val="24"/>
                <w:lang w:val="en-US" w:eastAsia="zh-CN" w:bidi="ar-SA"/>
              </w:rPr>
              <w:t>4</w:t>
            </w:r>
          </w:p>
        </w:tc>
        <w:tc>
          <w:tcPr>
            <w:tcW w:w="1524"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color w:val="auto"/>
                <w:sz w:val="32"/>
                <w:szCs w:val="24"/>
                <w:lang w:val="en-US" w:eastAsia="zh-CN" w:bidi="ar-SA"/>
              </w:rPr>
            </w:pPr>
            <w:r>
              <w:rPr>
                <w:rFonts w:hint="eastAsia" w:eastAsia="方正仿宋_GBK" w:cs="Times New Roman"/>
                <w:color w:val="auto"/>
                <w:sz w:val="32"/>
                <w:szCs w:val="24"/>
                <w:lang w:val="en-US" w:eastAsia="zh-CN" w:bidi="ar-SA"/>
              </w:rPr>
              <w:t>全基因组数据生信分析工作站</w:t>
            </w:r>
          </w:p>
        </w:tc>
        <w:tc>
          <w:tcPr>
            <w:tcW w:w="577"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color w:val="auto"/>
                <w:sz w:val="32"/>
                <w:szCs w:val="24"/>
                <w:lang w:val="en-US" w:eastAsia="zh-CN" w:bidi="ar-SA"/>
              </w:rPr>
            </w:pPr>
            <w:r>
              <w:rPr>
                <w:rFonts w:hint="eastAsia" w:eastAsia="方正仿宋_GBK" w:cs="Times New Roman"/>
                <w:color w:val="auto"/>
                <w:sz w:val="32"/>
                <w:szCs w:val="24"/>
                <w:lang w:val="en-US" w:eastAsia="zh-CN" w:bidi="ar-SA"/>
              </w:rPr>
              <w:t>1</w:t>
            </w:r>
          </w:p>
        </w:tc>
        <w:tc>
          <w:tcPr>
            <w:tcW w:w="496"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color w:val="auto"/>
                <w:sz w:val="32"/>
                <w:szCs w:val="24"/>
                <w:lang w:val="en-US" w:eastAsia="zh-CN" w:bidi="ar-SA"/>
              </w:rPr>
            </w:pPr>
            <w:r>
              <w:rPr>
                <w:rFonts w:hint="eastAsia" w:eastAsia="方正仿宋_GBK" w:cs="Times New Roman"/>
                <w:color w:val="auto"/>
                <w:sz w:val="32"/>
                <w:szCs w:val="24"/>
                <w:lang w:val="en-US" w:eastAsia="zh-CN" w:bidi="ar-SA"/>
              </w:rPr>
              <w:t>套</w:t>
            </w:r>
          </w:p>
        </w:tc>
        <w:tc>
          <w:tcPr>
            <w:tcW w:w="4616"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宋体" w:cs="Times New Roman"/>
                <w:color w:val="auto"/>
                <w:sz w:val="32"/>
                <w:szCs w:val="24"/>
                <w:lang w:val="en-US" w:eastAsia="zh-CN" w:bidi="ar-SA"/>
              </w:rPr>
            </w:pPr>
            <w:r>
              <w:rPr>
                <w:rFonts w:hint="eastAsia" w:ascii="Times New Roman" w:hAnsi="Times New Roman" w:eastAsia="方正仿宋_GBK" w:cs="Times New Roman"/>
                <w:color w:val="auto"/>
                <w:sz w:val="32"/>
                <w:szCs w:val="24"/>
                <w:lang w:val="en-US" w:eastAsia="zh-CN" w:bidi="ar-SA"/>
              </w:rPr>
              <w:t>用于全基因组数据生信分析。支持一代、二代和三代测序下机数据分析。可对流感、新亚型流感病毒、登革热、诺如、基孔肯亚和猴痘，宏基因组、16S、细菌耐药等数据进行可视化分析，具备未知病原分析流程及功能，包含去除宿主基因组功能。支持本地分析，具备数据质控功能，支持分析流程一键式操作，支持自定义分析流程。分析流程支持分步式操作，可实现从中间数据分析。提供疾控常见病毒、细菌等参考序列及注释信息的下载和导入。可根据常见不同原理构建进化树，具备进化树美化功能。终身免费使用及升级。配套分析服务器。</w:t>
            </w:r>
          </w:p>
        </w:tc>
        <w:tc>
          <w:tcPr>
            <w:tcW w:w="713"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default" w:eastAsia="方正仿宋_GBK" w:cs="Times New Roman"/>
                <w:sz w:val="32"/>
                <w:szCs w:val="24"/>
                <w:lang w:val="en-US" w:eastAsia="zh-CN" w:bidi="ar-SA"/>
              </w:rPr>
            </w:pPr>
            <w:r>
              <w:rPr>
                <w:rFonts w:hint="eastAsia" w:eastAsia="方正仿宋_GBK" w:cs="Times New Roman"/>
                <w:sz w:val="32"/>
                <w:szCs w:val="24"/>
                <w:lang w:val="en-US" w:eastAsia="zh-CN" w:bidi="ar-SA"/>
              </w:rPr>
              <w:t>5</w:t>
            </w:r>
          </w:p>
        </w:tc>
        <w:tc>
          <w:tcPr>
            <w:tcW w:w="1524"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default" w:eastAsia="方正仿宋_GBK" w:cs="Times New Roman"/>
                <w:color w:val="auto"/>
                <w:sz w:val="32"/>
                <w:szCs w:val="24"/>
                <w:lang w:val="en-US" w:eastAsia="zh-CN" w:bidi="ar-SA"/>
              </w:rPr>
            </w:pPr>
            <w:r>
              <w:rPr>
                <w:rFonts w:hint="eastAsia" w:eastAsia="方正仿宋_GBK" w:cs="Times New Roman"/>
                <w:color w:val="auto"/>
                <w:sz w:val="32"/>
                <w:szCs w:val="24"/>
                <w:lang w:val="en-US" w:eastAsia="zh-CN" w:bidi="ar-SA"/>
              </w:rPr>
              <w:t>多病原核酸检测系统</w:t>
            </w:r>
          </w:p>
        </w:tc>
        <w:tc>
          <w:tcPr>
            <w:tcW w:w="577"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default" w:eastAsia="方正仿宋_GBK" w:cs="Times New Roman"/>
                <w:color w:val="auto"/>
                <w:sz w:val="32"/>
                <w:szCs w:val="24"/>
                <w:lang w:val="en-US" w:eastAsia="zh-CN" w:bidi="ar-SA"/>
              </w:rPr>
            </w:pPr>
            <w:r>
              <w:rPr>
                <w:rFonts w:hint="eastAsia" w:eastAsia="方正仿宋_GBK" w:cs="Times New Roman"/>
                <w:color w:val="auto"/>
                <w:sz w:val="32"/>
                <w:szCs w:val="24"/>
                <w:lang w:val="en-US" w:eastAsia="zh-CN" w:bidi="ar-SA"/>
              </w:rPr>
              <w:t>1</w:t>
            </w:r>
          </w:p>
        </w:tc>
        <w:tc>
          <w:tcPr>
            <w:tcW w:w="496"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default" w:eastAsia="方正仿宋_GBK" w:cs="Times New Roman"/>
                <w:color w:val="auto"/>
                <w:sz w:val="32"/>
                <w:szCs w:val="24"/>
                <w:lang w:val="en-US" w:eastAsia="zh-CN" w:bidi="ar-SA"/>
              </w:rPr>
            </w:pPr>
            <w:r>
              <w:rPr>
                <w:rFonts w:hint="eastAsia" w:eastAsia="方正仿宋_GBK" w:cs="Times New Roman"/>
                <w:color w:val="auto"/>
                <w:sz w:val="32"/>
                <w:szCs w:val="24"/>
                <w:lang w:val="en-US" w:eastAsia="zh-CN" w:bidi="ar-SA"/>
              </w:rPr>
              <w:t>套</w:t>
            </w:r>
          </w:p>
        </w:tc>
        <w:tc>
          <w:tcPr>
            <w:tcW w:w="4616"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default"/>
                <w:color w:val="auto"/>
                <w:lang w:val="en-US" w:eastAsia="zh-CN"/>
              </w:rPr>
            </w:pPr>
            <w:r>
              <w:rPr>
                <w:rFonts w:hint="eastAsia" w:ascii="Times New Roman" w:hAnsi="Times New Roman" w:eastAsia="方正仿宋_GBK" w:cs="Times New Roman"/>
                <w:color w:val="auto"/>
                <w:sz w:val="32"/>
                <w:szCs w:val="24"/>
                <w:lang w:val="en-US" w:eastAsia="zh-CN" w:bidi="ar-SA"/>
              </w:rPr>
              <w:t>用于新冠、流感等应急检测、症候群多病原核酸检测等，检测总通量≥20，上机样本数量随机可选，可用样本原始管上机，可适用于各类样本前处理，荧光通道≥6，检测时长不超过2小时，具有全自动结果判读功能。有防污染措施或装置。</w:t>
            </w:r>
          </w:p>
        </w:tc>
        <w:tc>
          <w:tcPr>
            <w:tcW w:w="713"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default" w:eastAsia="方正仿宋_GBK" w:cs="Times New Roman"/>
                <w:sz w:val="32"/>
                <w:szCs w:val="24"/>
                <w:lang w:val="en-US" w:eastAsia="zh-CN" w:bidi="ar-SA"/>
              </w:rPr>
            </w:pPr>
            <w:r>
              <w:rPr>
                <w:rFonts w:hint="eastAsia" w:eastAsia="方正仿宋_GBK" w:cs="Times New Roman"/>
                <w:sz w:val="32"/>
                <w:szCs w:val="24"/>
                <w:lang w:val="en-US" w:eastAsia="zh-CN" w:bidi="ar-SA"/>
              </w:rPr>
              <w:t>6</w:t>
            </w:r>
          </w:p>
        </w:tc>
        <w:tc>
          <w:tcPr>
            <w:tcW w:w="1524"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ascii="Times New Roman" w:hAnsi="Times New Roman" w:eastAsia="方正仿宋_GBK" w:cs="Times New Roman"/>
                <w:kern w:val="2"/>
                <w:sz w:val="32"/>
                <w:szCs w:val="24"/>
                <w:lang w:val="en-US" w:eastAsia="zh-CN" w:bidi="ar-SA"/>
              </w:rPr>
            </w:pPr>
            <w:r>
              <w:rPr>
                <w:rFonts w:hint="eastAsia" w:eastAsia="方正仿宋_GBK" w:cs="Times New Roman"/>
                <w:sz w:val="32"/>
                <w:szCs w:val="24"/>
                <w:lang w:val="en-US" w:eastAsia="zh-CN" w:bidi="ar-SA"/>
              </w:rPr>
              <w:t>全自动顶空进样器</w:t>
            </w:r>
          </w:p>
        </w:tc>
        <w:tc>
          <w:tcPr>
            <w:tcW w:w="577"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ascii="Times New Roman" w:hAnsi="Times New Roman" w:eastAsia="方正仿宋_GBK" w:cs="Times New Roman"/>
                <w:kern w:val="2"/>
                <w:sz w:val="32"/>
                <w:szCs w:val="24"/>
                <w:lang w:val="en-US" w:eastAsia="zh-CN" w:bidi="ar-SA"/>
              </w:rPr>
            </w:pPr>
            <w:r>
              <w:rPr>
                <w:rFonts w:hint="eastAsia" w:eastAsia="方正仿宋_GBK" w:cs="Times New Roman"/>
                <w:sz w:val="32"/>
                <w:szCs w:val="24"/>
                <w:lang w:val="en-US" w:eastAsia="zh-CN" w:bidi="ar-SA"/>
              </w:rPr>
              <w:t>1</w:t>
            </w:r>
          </w:p>
        </w:tc>
        <w:tc>
          <w:tcPr>
            <w:tcW w:w="496"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ascii="Times New Roman" w:hAnsi="Times New Roman" w:eastAsia="方正仿宋_GBK" w:cs="Times New Roman"/>
                <w:kern w:val="2"/>
                <w:sz w:val="32"/>
                <w:szCs w:val="24"/>
                <w:lang w:val="en-US" w:eastAsia="zh-CN" w:bidi="ar-SA"/>
              </w:rPr>
            </w:pPr>
            <w:r>
              <w:rPr>
                <w:rFonts w:hint="eastAsia" w:eastAsia="方正仿宋_GBK" w:cs="Times New Roman"/>
                <w:sz w:val="32"/>
                <w:szCs w:val="24"/>
                <w:lang w:val="en-US" w:eastAsia="zh-CN" w:bidi="ar-SA"/>
              </w:rPr>
              <w:t>台</w:t>
            </w:r>
          </w:p>
        </w:tc>
        <w:tc>
          <w:tcPr>
            <w:tcW w:w="4616"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ascii="Times New Roman" w:hAnsi="Times New Roman" w:eastAsia="方正仿宋_GBK" w:cs="Times New Roman"/>
                <w:kern w:val="2"/>
                <w:sz w:val="32"/>
                <w:szCs w:val="24"/>
                <w:lang w:val="en-US" w:eastAsia="zh-CN" w:bidi="ar-SA"/>
              </w:rPr>
            </w:pPr>
            <w:r>
              <w:rPr>
                <w:rFonts w:hint="eastAsia" w:eastAsia="方正仿宋_GBK" w:cs="Times New Roman"/>
                <w:sz w:val="32"/>
                <w:szCs w:val="24"/>
                <w:lang w:val="en-US" w:eastAsia="zh-CN" w:bidi="ar-SA"/>
              </w:rPr>
              <w:t>用于生活饮用水、地表水等水质样品以及职业卫生监测样品中挥发性有机物的检测工作，满足国家水质检验标准、GBZ/T职业卫生相关检测规范要求。样品位数不少于60位，提供独立控制软件，且可与安捷伦气相色谱</w:t>
            </w:r>
            <w:r>
              <w:rPr>
                <w:rFonts w:hint="eastAsia" w:eastAsia="方正仿宋_GBK" w:cs="Times New Roman"/>
                <w:sz w:val="32"/>
                <w:szCs w:val="24"/>
                <w:lang w:val="en-US" w:eastAsia="zh-CN" w:bidi="ar-SA"/>
              </w:rPr>
              <w:noBreakHyphen/>
            </w:r>
            <w:r>
              <w:rPr>
                <w:rFonts w:hint="eastAsia" w:eastAsia="方正仿宋_GBK" w:cs="Times New Roman"/>
                <w:sz w:val="32"/>
                <w:szCs w:val="24"/>
                <w:lang w:val="en-US" w:eastAsia="zh-CN" w:bidi="ar-SA"/>
              </w:rPr>
              <w:t>质谱联用仪实现软硬件匹配联动控制。</w:t>
            </w:r>
          </w:p>
        </w:tc>
        <w:tc>
          <w:tcPr>
            <w:tcW w:w="713"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default" w:eastAsia="方正仿宋_GBK" w:cs="Times New Roman"/>
                <w:sz w:val="32"/>
                <w:szCs w:val="24"/>
                <w:lang w:val="en-US" w:eastAsia="zh-CN" w:bidi="ar-SA"/>
              </w:rPr>
            </w:pPr>
            <w:r>
              <w:rPr>
                <w:rFonts w:hint="eastAsia" w:eastAsia="方正仿宋_GBK" w:cs="Times New Roman"/>
                <w:sz w:val="32"/>
                <w:szCs w:val="24"/>
                <w:lang w:val="en-US" w:eastAsia="zh-CN" w:bidi="ar-SA"/>
              </w:rPr>
              <w:t>7</w:t>
            </w:r>
          </w:p>
        </w:tc>
        <w:tc>
          <w:tcPr>
            <w:tcW w:w="1524"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r>
              <w:rPr>
                <w:rFonts w:hint="eastAsia" w:eastAsia="方正仿宋_GBK" w:cs="Times New Roman"/>
                <w:sz w:val="32"/>
                <w:szCs w:val="24"/>
                <w:lang w:val="en-US" w:eastAsia="zh-CN" w:bidi="ar-SA"/>
              </w:rPr>
              <w:t>全自动多功能盐碘分析仪</w:t>
            </w:r>
          </w:p>
        </w:tc>
        <w:tc>
          <w:tcPr>
            <w:tcW w:w="577"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default" w:eastAsia="方正仿宋_GBK" w:cs="Times New Roman"/>
                <w:sz w:val="32"/>
                <w:szCs w:val="24"/>
                <w:lang w:val="en-US" w:eastAsia="zh-CN" w:bidi="ar-SA"/>
              </w:rPr>
            </w:pPr>
            <w:r>
              <w:rPr>
                <w:rFonts w:hint="eastAsia" w:eastAsia="方正仿宋_GBK" w:cs="Times New Roman"/>
                <w:sz w:val="32"/>
                <w:szCs w:val="24"/>
                <w:lang w:val="en-US" w:eastAsia="zh-CN" w:bidi="ar-SA"/>
              </w:rPr>
              <w:t>1</w:t>
            </w:r>
          </w:p>
        </w:tc>
        <w:tc>
          <w:tcPr>
            <w:tcW w:w="496"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default" w:eastAsia="方正仿宋_GBK" w:cs="Times New Roman"/>
                <w:sz w:val="32"/>
                <w:szCs w:val="24"/>
                <w:lang w:val="en-US" w:eastAsia="zh-CN" w:bidi="ar-SA"/>
              </w:rPr>
            </w:pPr>
            <w:r>
              <w:rPr>
                <w:rFonts w:hint="eastAsia" w:eastAsia="方正仿宋_GBK" w:cs="Times New Roman"/>
                <w:sz w:val="32"/>
                <w:szCs w:val="24"/>
                <w:lang w:val="en-US" w:eastAsia="zh-CN" w:bidi="ar-SA"/>
              </w:rPr>
              <w:t>台</w:t>
            </w:r>
          </w:p>
        </w:tc>
        <w:tc>
          <w:tcPr>
            <w:tcW w:w="4616"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r>
              <w:rPr>
                <w:rFonts w:hint="eastAsia" w:ascii="Times New Roman" w:hAnsi="Times New Roman" w:eastAsia="方正仿宋_GBK" w:cs="Times New Roman"/>
                <w:sz w:val="32"/>
                <w:szCs w:val="24"/>
                <w:lang w:val="en-US" w:eastAsia="zh-CN" w:bidi="ar-SA"/>
              </w:rPr>
              <w:t>用于盐碘、生活饮用水中高锰酸盐指数和总硬度的全自动化分析检测，能满足盐碘的氧化还原法和国家水质检测标准要求。样品位数≥50位，水浴消解位数≥8位。配置可独立操作软件，能实现一键检测，直接输出实验结果。</w:t>
            </w:r>
          </w:p>
        </w:tc>
        <w:tc>
          <w:tcPr>
            <w:tcW w:w="713"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default" w:eastAsia="方正仿宋_GBK" w:cs="Times New Roman"/>
                <w:sz w:val="32"/>
                <w:szCs w:val="24"/>
                <w:lang w:val="en-US" w:eastAsia="zh-CN" w:bidi="ar-SA"/>
              </w:rPr>
            </w:pPr>
            <w:r>
              <w:rPr>
                <w:rFonts w:hint="eastAsia" w:eastAsia="方正仿宋_GBK" w:cs="Times New Roman"/>
                <w:sz w:val="32"/>
                <w:szCs w:val="24"/>
                <w:lang w:val="en-US" w:eastAsia="zh-CN" w:bidi="ar-SA"/>
              </w:rPr>
              <w:t>8</w:t>
            </w:r>
          </w:p>
        </w:tc>
        <w:tc>
          <w:tcPr>
            <w:tcW w:w="1524"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color w:val="auto"/>
                <w:sz w:val="32"/>
                <w:szCs w:val="24"/>
                <w:lang w:val="en-US" w:eastAsia="zh-CN" w:bidi="ar-SA"/>
              </w:rPr>
            </w:pPr>
            <w:r>
              <w:rPr>
                <w:rFonts w:hint="eastAsia" w:eastAsia="方正仿宋_GBK" w:cs="Times New Roman"/>
                <w:color w:val="auto"/>
                <w:sz w:val="32"/>
                <w:szCs w:val="24"/>
                <w:lang w:val="en-US" w:eastAsia="zh-CN" w:bidi="ar-SA"/>
              </w:rPr>
              <w:t>8孔水浴锅</w:t>
            </w:r>
          </w:p>
        </w:tc>
        <w:tc>
          <w:tcPr>
            <w:tcW w:w="577"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r>
              <w:rPr>
                <w:rFonts w:hint="eastAsia" w:eastAsia="方正仿宋_GBK" w:cs="Times New Roman"/>
                <w:sz w:val="32"/>
                <w:szCs w:val="24"/>
                <w:lang w:val="en-US" w:eastAsia="zh-CN" w:bidi="ar-SA"/>
              </w:rPr>
              <w:t>5</w:t>
            </w:r>
          </w:p>
        </w:tc>
        <w:tc>
          <w:tcPr>
            <w:tcW w:w="496"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default" w:eastAsia="方正仿宋_GBK" w:cs="Times New Roman"/>
                <w:sz w:val="32"/>
                <w:szCs w:val="24"/>
                <w:lang w:val="en-US" w:eastAsia="zh-CN" w:bidi="ar-SA"/>
              </w:rPr>
            </w:pPr>
            <w:r>
              <w:rPr>
                <w:rFonts w:hint="eastAsia" w:eastAsia="方正仿宋_GBK" w:cs="Times New Roman"/>
                <w:sz w:val="32"/>
                <w:szCs w:val="24"/>
                <w:lang w:val="en-US" w:eastAsia="zh-CN" w:bidi="ar-SA"/>
              </w:rPr>
              <w:t>台</w:t>
            </w:r>
          </w:p>
        </w:tc>
        <w:tc>
          <w:tcPr>
            <w:tcW w:w="4616"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r>
              <w:rPr>
                <w:rFonts w:hint="eastAsia" w:eastAsia="方正仿宋_GBK" w:cs="Times New Roman"/>
                <w:sz w:val="32"/>
                <w:szCs w:val="24"/>
                <w:lang w:val="en-US" w:eastAsia="zh-CN" w:bidi="ar-SA"/>
              </w:rPr>
              <w:t>用于生活饮用水、食品等样品处理、恒温加热、显色等实验操作，8孔位，孔径可调，具备数显控温，可实现样品批量恒温处理，适配蒸发皿、比色管等实验器皿。</w:t>
            </w:r>
          </w:p>
        </w:tc>
        <w:tc>
          <w:tcPr>
            <w:tcW w:w="713"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1"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default" w:eastAsia="方正仿宋_GBK" w:cs="Times New Roman"/>
                <w:sz w:val="32"/>
                <w:szCs w:val="24"/>
                <w:lang w:val="en-US" w:eastAsia="zh-CN" w:bidi="ar-SA"/>
              </w:rPr>
            </w:pPr>
            <w:r>
              <w:rPr>
                <w:rFonts w:hint="eastAsia" w:eastAsia="方正仿宋_GBK" w:cs="Times New Roman"/>
                <w:sz w:val="32"/>
                <w:szCs w:val="24"/>
                <w:lang w:val="en-US" w:eastAsia="zh-CN" w:bidi="ar-SA"/>
              </w:rPr>
              <w:t>9</w:t>
            </w:r>
          </w:p>
        </w:tc>
        <w:tc>
          <w:tcPr>
            <w:tcW w:w="1524"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r>
              <w:rPr>
                <w:rFonts w:hint="eastAsia" w:eastAsia="方正仿宋_GBK" w:cs="Times New Roman"/>
                <w:sz w:val="32"/>
                <w:szCs w:val="24"/>
                <w:lang w:val="en-US" w:eastAsia="zh-CN" w:bidi="ar-SA"/>
              </w:rPr>
              <w:t>恒温水槽</w:t>
            </w:r>
          </w:p>
        </w:tc>
        <w:tc>
          <w:tcPr>
            <w:tcW w:w="577"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default" w:eastAsia="方正仿宋_GBK" w:cs="Times New Roman"/>
                <w:sz w:val="32"/>
                <w:szCs w:val="24"/>
                <w:lang w:val="en-US" w:eastAsia="zh-CN" w:bidi="ar-SA"/>
              </w:rPr>
            </w:pPr>
            <w:r>
              <w:rPr>
                <w:rFonts w:hint="eastAsia" w:eastAsia="方正仿宋_GBK" w:cs="Times New Roman"/>
                <w:sz w:val="32"/>
                <w:szCs w:val="24"/>
                <w:lang w:val="en-US" w:eastAsia="zh-CN" w:bidi="ar-SA"/>
              </w:rPr>
              <w:t>2</w:t>
            </w:r>
          </w:p>
        </w:tc>
        <w:tc>
          <w:tcPr>
            <w:tcW w:w="496"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r>
              <w:rPr>
                <w:rFonts w:hint="eastAsia" w:eastAsia="方正仿宋_GBK" w:cs="Times New Roman"/>
                <w:sz w:val="32"/>
                <w:szCs w:val="24"/>
                <w:lang w:val="en-US" w:eastAsia="zh-CN" w:bidi="ar-SA"/>
              </w:rPr>
              <w:t>台</w:t>
            </w:r>
          </w:p>
        </w:tc>
        <w:tc>
          <w:tcPr>
            <w:tcW w:w="4616"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r>
              <w:rPr>
                <w:rFonts w:hint="eastAsia" w:eastAsia="方正仿宋_GBK" w:cs="Times New Roman"/>
                <w:sz w:val="32"/>
                <w:szCs w:val="24"/>
                <w:lang w:val="en-US" w:eastAsia="zh-CN" w:bidi="ar-SA"/>
              </w:rPr>
              <w:t>用于生活饮用水、地表水等水质样品以及职业卫生监测样品前处理恒温孵育工作，满足国家水质检验标准、GBZ/T职业卫生相关检测规范要求。设备具备液位监测、过热保护安全功能，控温区间室温+5～100℃，容量2L,支持定时设置，保障样品恒温处理环节温度稳定可控。</w:t>
            </w:r>
          </w:p>
        </w:tc>
        <w:tc>
          <w:tcPr>
            <w:tcW w:w="713" w:type="dxa"/>
            <w:tcBorders>
              <w:top w:val="single" w:color="auto" w:sz="4" w:space="0"/>
              <w:left w:val="single" w:color="auto" w:sz="4" w:space="0"/>
              <w:bottom w:val="single" w:color="auto" w:sz="4" w:space="0"/>
              <w:right w:val="single" w:color="auto" w:sz="4" w:space="0"/>
              <w:tl2br w:val="nil"/>
              <w:tr2bl w:val="nil"/>
            </w:tcBorders>
            <w:noWrap w:val="0"/>
            <w:vAlign w:val="top"/>
          </w:tcPr>
          <w:p>
            <w:pPr>
              <w:widowControl w:val="0"/>
              <w:spacing w:beforeLines="0" w:afterLines="0" w:line="578" w:lineRule="exact"/>
              <w:rPr>
                <w:rFonts w:hint="eastAsia" w:eastAsia="方正仿宋_GBK" w:cs="Times New Roman"/>
                <w:sz w:val="32"/>
                <w:szCs w:val="24"/>
                <w:lang w:val="en-US" w:eastAsia="zh-CN" w:bidi="ar-SA"/>
              </w:rPr>
            </w:pPr>
          </w:p>
        </w:tc>
      </w:tr>
    </w:tbl>
    <w:p>
      <w:pPr>
        <w:pStyle w:val="2"/>
        <w:rPr>
          <w:rFonts w:hint="eastAsia"/>
          <w:lang w:val="en-US" w:eastAsia="zh-CN"/>
        </w:rPr>
      </w:pPr>
    </w:p>
    <w:p>
      <w:pPr>
        <w:pStyle w:val="2"/>
        <w:ind w:left="0" w:leftChars="0" w:firstLine="0" w:firstLineChars="0"/>
        <w:rPr>
          <w:rFonts w:hint="eastAsia"/>
          <w:lang w:val="en-US" w:eastAsia="zh-CN"/>
        </w:rPr>
      </w:pPr>
    </w:p>
    <w:p>
      <w:pPr>
        <w:rPr>
          <w:rFonts w:hint="eastAsia"/>
          <w:lang w:val="en-US" w:eastAsia="zh-CN"/>
        </w:rPr>
      </w:pPr>
    </w:p>
    <w:p>
      <w:pPr>
        <w:pStyle w:val="2"/>
        <w:rPr>
          <w:rFonts w:hint="eastAsia"/>
          <w:lang w:val="en-US" w:eastAsia="zh-CN"/>
        </w:rPr>
      </w:pPr>
    </w:p>
    <w:p>
      <w:pPr>
        <w:rPr>
          <w:rFonts w:hint="eastAsia"/>
          <w:lang w:val="en-US" w:eastAsia="zh-CN"/>
        </w:rPr>
      </w:pPr>
    </w:p>
    <w:p>
      <w:pPr>
        <w:pStyle w:val="2"/>
        <w:rPr>
          <w:rFonts w:hint="eastAsia"/>
          <w:lang w:val="en-US" w:eastAsia="zh-CN"/>
        </w:rPr>
        <w:sectPr>
          <w:pgSz w:w="12240" w:h="15840"/>
          <w:pgMar w:top="1440" w:right="1800" w:bottom="1440" w:left="1800" w:header="720" w:footer="720" w:gutter="0"/>
          <w:lnNumType w:countBy="0" w:distance="360"/>
          <w:cols w:space="720" w:num="1"/>
        </w:sectPr>
      </w:pPr>
    </w:p>
    <w:p>
      <w:pPr>
        <w:rPr>
          <w:rFonts w:hint="eastAsia"/>
          <w:lang w:val="en-US" w:eastAsia="zh-CN"/>
        </w:rPr>
      </w:pPr>
    </w:p>
    <w:p>
      <w:pPr>
        <w:pStyle w:val="2"/>
        <w:ind w:left="0" w:leftChars="0" w:firstLine="0" w:firstLineChars="0"/>
        <w:rPr>
          <w:rFonts w:hint="eastAsia" w:eastAsia="方正仿宋_GBK" w:cs="Times New Roman"/>
          <w:sz w:val="32"/>
          <w:szCs w:val="24"/>
          <w:lang w:val="en-US" w:eastAsia="zh-CN" w:bidi="ar-SA"/>
        </w:rPr>
      </w:pPr>
      <w:r>
        <w:rPr>
          <w:rFonts w:hint="eastAsia" w:ascii="方正黑体_GBK" w:hAnsi="方正黑体_GBK" w:eastAsia="方正黑体_GBK" w:cs="方正黑体_GBK"/>
          <w:sz w:val="32"/>
          <w:szCs w:val="24"/>
          <w:lang w:val="en-US" w:eastAsia="zh-CN" w:bidi="ar-SA"/>
        </w:rPr>
        <w:t xml:space="preserve">附件2  </w:t>
      </w:r>
    </w:p>
    <w:tbl>
      <w:tblPr>
        <w:tblStyle w:val="5"/>
        <w:tblpPr w:leftFromText="180" w:rightFromText="180" w:vertAnchor="text" w:horzAnchor="page" w:tblpX="706" w:tblpY="1730"/>
        <w:tblOverlap w:val="never"/>
        <w:tblW w:w="146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15"/>
        <w:gridCol w:w="915"/>
        <w:gridCol w:w="915"/>
        <w:gridCol w:w="915"/>
        <w:gridCol w:w="915"/>
        <w:gridCol w:w="915"/>
        <w:gridCol w:w="915"/>
        <w:gridCol w:w="915"/>
        <w:gridCol w:w="915"/>
        <w:gridCol w:w="598"/>
        <w:gridCol w:w="1845"/>
        <w:gridCol w:w="750"/>
        <w:gridCol w:w="790"/>
        <w:gridCol w:w="831"/>
        <w:gridCol w:w="791"/>
        <w:gridCol w:w="8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91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序号</w:t>
            </w:r>
          </w:p>
        </w:tc>
        <w:tc>
          <w:tcPr>
            <w:tcW w:w="91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名称</w:t>
            </w:r>
          </w:p>
        </w:tc>
        <w:tc>
          <w:tcPr>
            <w:tcW w:w="91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型号</w:t>
            </w:r>
          </w:p>
        </w:tc>
        <w:tc>
          <w:tcPr>
            <w:tcW w:w="91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规格</w:t>
            </w:r>
          </w:p>
        </w:tc>
        <w:tc>
          <w:tcPr>
            <w:tcW w:w="91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品牌</w:t>
            </w:r>
          </w:p>
        </w:tc>
        <w:tc>
          <w:tcPr>
            <w:tcW w:w="91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国产/进口</w:t>
            </w:r>
          </w:p>
        </w:tc>
        <w:tc>
          <w:tcPr>
            <w:tcW w:w="91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报价</w:t>
            </w:r>
          </w:p>
        </w:tc>
        <w:tc>
          <w:tcPr>
            <w:tcW w:w="91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333333"/>
                <w:sz w:val="24"/>
                <w:szCs w:val="24"/>
                <w:u w:val="none"/>
              </w:rPr>
            </w:pPr>
            <w:r>
              <w:rPr>
                <w:rFonts w:hint="eastAsia" w:ascii="宋体" w:hAnsi="宋体" w:eastAsia="宋体" w:cs="宋体"/>
                <w:i w:val="0"/>
                <w:iCs w:val="0"/>
                <w:color w:val="333333"/>
                <w:kern w:val="0"/>
                <w:sz w:val="24"/>
                <w:szCs w:val="24"/>
                <w:u w:val="none"/>
                <w:lang w:val="en-US" w:eastAsia="zh-CN" w:bidi="ar"/>
              </w:rPr>
              <w:t>联系方式</w:t>
            </w:r>
          </w:p>
        </w:tc>
        <w:tc>
          <w:tcPr>
            <w:tcW w:w="91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产品优缺点（请详细描述）</w:t>
            </w:r>
          </w:p>
        </w:tc>
        <w:tc>
          <w:tcPr>
            <w:tcW w:w="59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市场占有率%</w:t>
            </w:r>
          </w:p>
        </w:tc>
        <w:tc>
          <w:tcPr>
            <w:tcW w:w="1845"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产品售后情况（距资阳最近维修点地址，处置故障响应时间及维修工程师人数等）（*质保期：必填）</w:t>
            </w:r>
          </w:p>
        </w:tc>
        <w:tc>
          <w:tcPr>
            <w:tcW w:w="3962"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历史成交信息情况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60" w:hRule="atLeast"/>
        </w:trPr>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333333"/>
                <w:sz w:val="24"/>
                <w:szCs w:val="24"/>
                <w:u w:val="none"/>
              </w:rPr>
            </w:pP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333333"/>
                <w:sz w:val="24"/>
                <w:szCs w:val="24"/>
                <w:u w:val="none"/>
              </w:rPr>
            </w:pP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333333"/>
                <w:sz w:val="24"/>
                <w:szCs w:val="24"/>
                <w:u w:val="none"/>
              </w:rPr>
            </w:pP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333333"/>
                <w:sz w:val="24"/>
                <w:szCs w:val="24"/>
                <w:u w:val="none"/>
              </w:rPr>
            </w:pP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333333"/>
                <w:sz w:val="24"/>
                <w:szCs w:val="24"/>
                <w:u w:val="none"/>
              </w:rPr>
            </w:pP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333333"/>
                <w:sz w:val="24"/>
                <w:szCs w:val="24"/>
                <w:u w:val="none"/>
              </w:rPr>
            </w:pP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333333"/>
                <w:sz w:val="24"/>
                <w:szCs w:val="24"/>
                <w:u w:val="none"/>
              </w:rPr>
            </w:pP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333333"/>
                <w:sz w:val="24"/>
                <w:szCs w:val="24"/>
                <w:u w:val="none"/>
              </w:rPr>
            </w:pPr>
          </w:p>
        </w:tc>
        <w:tc>
          <w:tcPr>
            <w:tcW w:w="91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598"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1845" w:type="dxa"/>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采购单位</w:t>
            </w:r>
          </w:p>
        </w:tc>
        <w:tc>
          <w:tcPr>
            <w:tcW w:w="7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采购数量</w:t>
            </w:r>
          </w:p>
        </w:tc>
        <w:tc>
          <w:tcPr>
            <w:tcW w:w="83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采购时间</w:t>
            </w:r>
          </w:p>
        </w:tc>
        <w:tc>
          <w:tcPr>
            <w:tcW w:w="79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成交价格</w:t>
            </w:r>
          </w:p>
        </w:tc>
        <w:tc>
          <w:tcPr>
            <w:tcW w:w="8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其他需说明情况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59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3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59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3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59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3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6" w:hRule="atLeast"/>
        </w:trPr>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59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3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59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3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59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3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59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3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59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3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59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3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59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3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59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84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3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915"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598"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184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宋体" w:hAnsi="宋体" w:eastAsia="宋体" w:cs="宋体"/>
                <w:i w:val="0"/>
                <w:iCs w:val="0"/>
                <w:color w:val="000000"/>
                <w:sz w:val="22"/>
                <w:szCs w:val="22"/>
                <w:u w:val="none"/>
              </w:rPr>
            </w:pPr>
          </w:p>
        </w:tc>
        <w:tc>
          <w:tcPr>
            <w:tcW w:w="75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3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791"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c>
          <w:tcPr>
            <w:tcW w:w="800" w:type="dxa"/>
            <w:tcBorders>
              <w:top w:val="single" w:color="000000" w:sz="4" w:space="0"/>
              <w:left w:val="single" w:color="000000" w:sz="4" w:space="0"/>
              <w:bottom w:val="single" w:color="000000" w:sz="4" w:space="0"/>
              <w:right w:val="single" w:color="000000" w:sz="4" w:space="0"/>
            </w:tcBorders>
            <w:noWrap/>
            <w:vAlign w:val="center"/>
          </w:tcPr>
          <w:p>
            <w:pPr>
              <w:rPr>
                <w:rFonts w:hint="eastAsia" w:ascii="宋体" w:hAnsi="宋体" w:eastAsia="宋体" w:cs="宋体"/>
                <w:i w:val="0"/>
                <w:iCs w:val="0"/>
                <w:color w:val="000000"/>
                <w:sz w:val="22"/>
                <w:szCs w:val="22"/>
                <w:u w:val="none"/>
              </w:rPr>
            </w:pPr>
          </w:p>
        </w:tc>
      </w:tr>
    </w:tbl>
    <w:p>
      <w:pPr>
        <w:pStyle w:val="2"/>
        <w:ind w:left="0" w:leftChars="0" w:firstLine="0" w:firstLineChars="0"/>
        <w:jc w:val="center"/>
        <w:rPr>
          <w:rFonts w:hint="eastAsia" w:ascii="方正小标宋简体" w:hAnsi="方正小标宋简体" w:eastAsia="方正小标宋简体" w:cs="方正小标宋简体"/>
          <w:sz w:val="44"/>
          <w:szCs w:val="44"/>
          <w:lang w:val="en-US" w:eastAsia="zh-CN" w:bidi="ar-SA"/>
        </w:rPr>
      </w:pPr>
      <w:r>
        <w:rPr>
          <w:rFonts w:hint="eastAsia" w:ascii="方正小标宋简体" w:hAnsi="方正小标宋简体" w:eastAsia="方正小标宋简体" w:cs="方正小标宋简体"/>
          <w:sz w:val="44"/>
          <w:szCs w:val="44"/>
          <w:lang w:val="en-US" w:eastAsia="zh-CN" w:bidi="ar-SA"/>
        </w:rPr>
        <w:t>调研设备推荐清单</w:t>
      </w:r>
    </w:p>
    <w:p>
      <w:pPr>
        <w:pStyle w:val="2"/>
        <w:ind w:left="0" w:leftChars="0" w:firstLine="0" w:firstLineChars="0"/>
        <w:rPr>
          <w:rFonts w:hint="eastAsia"/>
          <w:lang w:val="en-US" w:eastAsia="zh-CN"/>
        </w:rPr>
      </w:pPr>
    </w:p>
    <w:p>
      <w:bookmarkStart w:id="0" w:name="_GoBack"/>
      <w:bookmarkEnd w:id="0"/>
    </w:p>
    <w:sectPr>
      <w:pgSz w:w="15840" w:h="12240" w:orient="landscape"/>
      <w:pgMar w:top="1800" w:right="1440" w:bottom="1800" w:left="1440" w:header="720" w:footer="720" w:gutter="0"/>
      <w:lnNumType w:countBy="0" w:distance="36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简体">
    <w:altName w:val="Arial Unicode MS"/>
    <w:panose1 w:val="02010601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945153"/>
    <w:rsid w:val="093D1FF3"/>
    <w:rsid w:val="35945153"/>
    <w:rsid w:val="38B73A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spacing w:beforeLines="0" w:afterLines="0"/>
      <w:jc w:val="both"/>
    </w:pPr>
    <w:rPr>
      <w:rFonts w:hint="default" w:ascii="Times New Roman" w:hAnsi="Times New Roman" w:eastAsia="宋体" w:cs="Times New Roman"/>
      <w:kern w:val="2"/>
      <w:sz w:val="21"/>
      <w:szCs w:val="24"/>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0"/>
    <w:pPr>
      <w:spacing w:beforeLines="0" w:afterLines="0"/>
      <w:ind w:firstLine="420" w:firstLineChars="200"/>
    </w:pPr>
    <w:rPr>
      <w:rFonts w:hint="default" w:cs="Times New Roman"/>
      <w:sz w:val="21"/>
      <w:szCs w:val="24"/>
    </w:rPr>
  </w:style>
  <w:style w:type="paragraph" w:styleId="3">
    <w:name w:val="Body Text Indent"/>
    <w:basedOn w:val="1"/>
    <w:next w:val="4"/>
    <w:unhideWhenUsed/>
    <w:qFormat/>
    <w:uiPriority w:val="99"/>
    <w:pPr>
      <w:spacing w:beforeLines="0" w:after="120" w:afterLines="0"/>
      <w:ind w:left="420" w:leftChars="200"/>
    </w:pPr>
    <w:rPr>
      <w:rFonts w:hint="default"/>
      <w:sz w:val="21"/>
      <w:szCs w:val="24"/>
      <w:lang w:val="en-US" w:eastAsia="zh-CN" w:bidi="ar-SA"/>
    </w:rPr>
  </w:style>
  <w:style w:type="paragraph" w:styleId="4">
    <w:name w:val="Body Text"/>
    <w:basedOn w:val="1"/>
    <w:next w:val="1"/>
    <w:unhideWhenUsed/>
    <w:qFormat/>
    <w:uiPriority w:val="99"/>
    <w:pPr>
      <w:spacing w:beforeLines="0" w:after="120" w:afterLines="0"/>
    </w:pPr>
    <w:rPr>
      <w:rFonts w:hint="default"/>
      <w:sz w:val="21"/>
      <w:szCs w:val="24"/>
    </w:rPr>
  </w:style>
  <w:style w:type="paragraph" w:styleId="7">
    <w:name w:val="List Paragraph"/>
    <w:basedOn w:val="1"/>
    <w:unhideWhenUsed/>
    <w:qFormat/>
    <w:uiPriority w:val="34"/>
    <w:pPr>
      <w:spacing w:beforeLines="0" w:afterLines="0"/>
      <w:ind w:left="720"/>
    </w:pPr>
    <w:rPr>
      <w:rFonts w:hint="default"/>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1204</Words>
  <Characters>1493</Characters>
  <Lines>0</Lines>
  <Paragraphs>0</Paragraphs>
  <TotalTime>0</TotalTime>
  <ScaleCrop>false</ScaleCrop>
  <LinksUpToDate>false</LinksUpToDate>
  <CharactersWithSpaces>1497</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2025-07-17T02:17:00Z</dcterms:created>
  <dc:creator>熊志锐</dc:creator>
  <cp:lastModifiedBy>T-Tao</cp:lastModifiedBy>
  <dcterms:modified xsi:type="dcterms:W3CDTF">2026-09-22T09:09:26Z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y fmtid="{D5CDD505-2E9C-101B-9397-08002B2CF9AE}" pid="3" name="ICV">
    <vt:lpwstr>D9DE67AC1F084143998D0219FC176E56_11</vt:lpwstr>
  </property>
  <property fmtid="{D5CDD505-2E9C-101B-9397-08002B2CF9AE}" pid="4" name="KSOTemplateDocerSaveRecord">
    <vt:lpwstr>eyJoZGlkIjoiNThhY2I3NGYwMjIxYTg4Zjc4ZmI3YWE5M2U0NmE0MWMiLCJ1c2VySWQiOiI1ODgzOTU2OTcifQ==</vt:lpwstr>
  </property>
</Properties>
</file>